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5000" w:type="pct"/>
        <w:tblBorders>
          <w:bottom w:val="single" w:sz="12" w:space="0" w:color="auto"/>
          <w:insideH w:val="single" w:sz="4" w:space="0" w:color="auto"/>
        </w:tblBorders>
        <w:tblCellMar>
          <w:left w:w="0" w:type="dxa"/>
          <w:right w:w="0" w:type="dxa"/>
        </w:tblCellMar>
        <w:tblLook w:val="01E0" w:firstRow="1" w:lastRow="1" w:firstColumn="1" w:lastColumn="1" w:noHBand="0" w:noVBand="0"/>
      </w:tblPr>
      <w:tblGrid>
        <w:gridCol w:w="1259"/>
        <w:gridCol w:w="2236"/>
        <w:gridCol w:w="3214"/>
        <w:gridCol w:w="2930"/>
      </w:tblGrid>
      <w:tr w:rsidR="00963CBA" w:rsidRPr="006C5085" w14:paraId="4DB96861" w14:textId="77777777" w:rsidTr="00676B57">
        <w:trPr>
          <w:trHeight w:val="851"/>
        </w:trPr>
        <w:tc>
          <w:tcPr>
            <w:tcW w:w="653" w:type="pct"/>
            <w:shd w:val="clear" w:color="auto" w:fill="auto"/>
          </w:tcPr>
          <w:p w14:paraId="613E1460" w14:textId="77777777" w:rsidR="00446DE4" w:rsidRPr="006C5085" w:rsidRDefault="00446DE4" w:rsidP="00676B57">
            <w:bookmarkStart w:id="0" w:name="_GoBack"/>
            <w:bookmarkEnd w:id="0"/>
          </w:p>
        </w:tc>
        <w:tc>
          <w:tcPr>
            <w:tcW w:w="1160" w:type="pct"/>
            <w:shd w:val="clear" w:color="auto" w:fill="auto"/>
            <w:vAlign w:val="bottom"/>
          </w:tcPr>
          <w:p w14:paraId="25A0909A" w14:textId="61CA7C39" w:rsidR="00446DE4" w:rsidRPr="006C5085" w:rsidRDefault="00446DE4" w:rsidP="00676B57">
            <w:pPr>
              <w:spacing w:after="80" w:line="300" w:lineRule="exact"/>
              <w:rPr>
                <w:sz w:val="28"/>
                <w:szCs w:val="28"/>
              </w:rPr>
            </w:pPr>
          </w:p>
        </w:tc>
        <w:tc>
          <w:tcPr>
            <w:tcW w:w="3187" w:type="pct"/>
            <w:gridSpan w:val="2"/>
            <w:shd w:val="clear" w:color="auto" w:fill="auto"/>
            <w:vAlign w:val="bottom"/>
          </w:tcPr>
          <w:p w14:paraId="1BD822BD" w14:textId="6E40F06A" w:rsidR="00446DE4" w:rsidRPr="006C5085" w:rsidRDefault="00087903" w:rsidP="00676B57">
            <w:pPr>
              <w:suppressAutoHyphens w:val="0"/>
              <w:jc w:val="right"/>
            </w:pPr>
            <w:r w:rsidRPr="006C5085">
              <w:rPr>
                <w:sz w:val="40"/>
                <w:szCs w:val="40"/>
              </w:rPr>
              <w:t>E</w:t>
            </w:r>
            <w:r w:rsidRPr="006C5085">
              <w:t>/C.12/</w:t>
            </w:r>
            <w:r w:rsidR="00B94D41" w:rsidRPr="006C5085">
              <w:t>GBR</w:t>
            </w:r>
            <w:r w:rsidRPr="006C5085">
              <w:t>/CO/</w:t>
            </w:r>
            <w:r w:rsidR="00B94D41" w:rsidRPr="006C5085">
              <w:t>6</w:t>
            </w:r>
          </w:p>
        </w:tc>
      </w:tr>
      <w:tr w:rsidR="003107FA" w:rsidRPr="006C5085" w14:paraId="5D1FD066" w14:textId="77777777" w:rsidTr="00676B57">
        <w:trPr>
          <w:cantSplit/>
          <w:trHeight w:val="2835"/>
        </w:trPr>
        <w:tc>
          <w:tcPr>
            <w:tcW w:w="653" w:type="pct"/>
            <w:shd w:val="clear" w:color="auto" w:fill="auto"/>
          </w:tcPr>
          <w:p w14:paraId="5CE62229" w14:textId="300C7425" w:rsidR="003107FA" w:rsidRPr="006C5085" w:rsidRDefault="003107FA" w:rsidP="00676B57">
            <w:pPr>
              <w:spacing w:before="120"/>
            </w:pPr>
          </w:p>
        </w:tc>
        <w:tc>
          <w:tcPr>
            <w:tcW w:w="2827" w:type="pct"/>
            <w:gridSpan w:val="2"/>
            <w:shd w:val="clear" w:color="auto" w:fill="auto"/>
          </w:tcPr>
          <w:p w14:paraId="03B95F55" w14:textId="7785C459" w:rsidR="00676B57" w:rsidRPr="006C5085" w:rsidRDefault="009258A7" w:rsidP="00F932CA">
            <w:pPr>
              <w:spacing w:before="240" w:line="260" w:lineRule="exact"/>
              <w:rPr>
                <w:b/>
                <w:sz w:val="36"/>
                <w:szCs w:val="36"/>
              </w:rPr>
            </w:pPr>
            <w:r w:rsidRPr="009A46B9">
              <w:rPr>
                <w:b/>
                <w:sz w:val="40"/>
                <w:szCs w:val="40"/>
              </w:rPr>
              <w:t>Advance Unedited Version</w:t>
            </w:r>
          </w:p>
        </w:tc>
        <w:tc>
          <w:tcPr>
            <w:tcW w:w="1520" w:type="pct"/>
            <w:shd w:val="clear" w:color="auto" w:fill="auto"/>
          </w:tcPr>
          <w:p w14:paraId="798AEA96" w14:textId="4C540B97" w:rsidR="009702DE" w:rsidRPr="006C5085" w:rsidRDefault="00087903" w:rsidP="00676B57">
            <w:pPr>
              <w:suppressAutoHyphens w:val="0"/>
              <w:spacing w:before="240" w:line="240" w:lineRule="exact"/>
            </w:pPr>
            <w:r w:rsidRPr="006C5085">
              <w:t xml:space="preserve">Distr.: </w:t>
            </w:r>
            <w:r w:rsidR="00AF7011">
              <w:t>General</w:t>
            </w:r>
          </w:p>
          <w:p w14:paraId="61566ADC" w14:textId="65B785F2" w:rsidR="00087903" w:rsidRPr="006C5085" w:rsidRDefault="00AF7011" w:rsidP="00676B57">
            <w:pPr>
              <w:suppressAutoHyphens w:val="0"/>
              <w:spacing w:line="240" w:lineRule="exact"/>
            </w:pPr>
            <w:r>
              <w:t xml:space="preserve">24 </w:t>
            </w:r>
            <w:r w:rsidR="00087903" w:rsidRPr="006C5085">
              <w:t>June 2016</w:t>
            </w:r>
          </w:p>
          <w:p w14:paraId="4B4E6931" w14:textId="77777777" w:rsidR="00087903" w:rsidRPr="006C5085" w:rsidRDefault="00087903" w:rsidP="00676B57">
            <w:pPr>
              <w:suppressAutoHyphens w:val="0"/>
              <w:spacing w:line="240" w:lineRule="exact"/>
            </w:pPr>
          </w:p>
          <w:p w14:paraId="1A264C87" w14:textId="77777777" w:rsidR="00087903" w:rsidRPr="006C5085" w:rsidRDefault="00087903" w:rsidP="00676B57">
            <w:pPr>
              <w:suppressAutoHyphens w:val="0"/>
              <w:spacing w:line="240" w:lineRule="exact"/>
            </w:pPr>
            <w:r w:rsidRPr="006C5085">
              <w:t>Original: English</w:t>
            </w:r>
          </w:p>
          <w:p w14:paraId="4A5294B5" w14:textId="77777777" w:rsidR="00087903" w:rsidRPr="006C5085" w:rsidRDefault="00087903" w:rsidP="00676B57">
            <w:pPr>
              <w:suppressAutoHyphens w:val="0"/>
              <w:spacing w:line="240" w:lineRule="exact"/>
            </w:pPr>
            <w:r w:rsidRPr="006C5085">
              <w:t>English, French and Spanish only</w:t>
            </w:r>
          </w:p>
        </w:tc>
      </w:tr>
    </w:tbl>
    <w:p w14:paraId="288AC16E" w14:textId="77777777" w:rsidR="00E62C9D" w:rsidRPr="006C5085" w:rsidRDefault="00DB0F0D" w:rsidP="00DB0F0D">
      <w:pPr>
        <w:spacing w:before="120"/>
      </w:pPr>
      <w:r w:rsidRPr="006C5085">
        <w:rPr>
          <w:b/>
          <w:sz w:val="24"/>
          <w:szCs w:val="24"/>
        </w:rPr>
        <w:t>Committee on Economic, Social and Cultural Rights</w:t>
      </w:r>
    </w:p>
    <w:p w14:paraId="498EDCC0" w14:textId="1090F1C7" w:rsidR="00747D37" w:rsidRPr="006C5085" w:rsidRDefault="001F3FDF" w:rsidP="0018694B">
      <w:pPr>
        <w:pStyle w:val="HChG"/>
      </w:pPr>
      <w:r w:rsidRPr="006C5085">
        <w:tab/>
      </w:r>
      <w:r w:rsidR="00A609FF" w:rsidRPr="006C5085">
        <w:tab/>
      </w:r>
      <w:r w:rsidR="00087903" w:rsidRPr="006C5085">
        <w:t xml:space="preserve">Concluding observations on the </w:t>
      </w:r>
      <w:r w:rsidR="00B94D41" w:rsidRPr="006C5085">
        <w:t>sixth</w:t>
      </w:r>
      <w:r w:rsidR="00087903" w:rsidRPr="006C5085">
        <w:t xml:space="preserve"> periodic report of </w:t>
      </w:r>
      <w:r w:rsidR="00B94D41" w:rsidRPr="006C5085">
        <w:t xml:space="preserve">the United Kingdom of Great Britain and Northern Ireland </w:t>
      </w:r>
      <w:r w:rsidR="0018694B" w:rsidRPr="006C5085">
        <w:rPr>
          <w:vertAlign w:val="superscript"/>
        </w:rPr>
        <w:footnoteReference w:customMarkFollows="1" w:id="2"/>
        <w:t>*</w:t>
      </w:r>
      <w:r w:rsidR="0018694B" w:rsidRPr="006C5085">
        <w:t xml:space="preserve"> </w:t>
      </w:r>
    </w:p>
    <w:p w14:paraId="028767A5" w14:textId="28E59C9A" w:rsidR="00BD5687" w:rsidRPr="006C5085" w:rsidRDefault="00BD5687" w:rsidP="00BD5687">
      <w:pPr>
        <w:pStyle w:val="SingleTxtG"/>
        <w:numPr>
          <w:ilvl w:val="0"/>
          <w:numId w:val="17"/>
        </w:numPr>
        <w:tabs>
          <w:tab w:val="left" w:pos="1701"/>
        </w:tabs>
        <w:ind w:left="1134" w:firstLine="0"/>
      </w:pPr>
      <w:r w:rsidRPr="006C5085">
        <w:t xml:space="preserve">The Committee on Economic, Social and Cultural Rights considered </w:t>
      </w:r>
      <w:r w:rsidR="00087903" w:rsidRPr="006C5085">
        <w:t xml:space="preserve">the </w:t>
      </w:r>
      <w:r w:rsidR="00B94D41" w:rsidRPr="006C5085">
        <w:t>sixth</w:t>
      </w:r>
      <w:r w:rsidR="00B94D41" w:rsidRPr="006C5085">
        <w:rPr>
          <w:color w:val="FF0000"/>
        </w:rPr>
        <w:t xml:space="preserve"> </w:t>
      </w:r>
      <w:r w:rsidR="00087903" w:rsidRPr="006C5085">
        <w:t>periodic report</w:t>
      </w:r>
      <w:r w:rsidR="00B94D41" w:rsidRPr="006C5085">
        <w:t xml:space="preserve"> </w:t>
      </w:r>
      <w:r w:rsidR="00087903" w:rsidRPr="006C5085">
        <w:t xml:space="preserve">of </w:t>
      </w:r>
      <w:r w:rsidR="00B94D41" w:rsidRPr="006C5085">
        <w:t xml:space="preserve">the United Kingdom of Great Britain and Northern Ireland </w:t>
      </w:r>
      <w:r w:rsidRPr="006C5085">
        <w:t>on the implementation of the International Covenant on Economic, Social and Cultural Rights (E/C.12/</w:t>
      </w:r>
      <w:r w:rsidR="00B94D41" w:rsidRPr="006C5085">
        <w:t>GBR</w:t>
      </w:r>
      <w:r w:rsidRPr="006C5085">
        <w:t>/</w:t>
      </w:r>
      <w:r w:rsidR="00B94D41" w:rsidRPr="006C5085">
        <w:t>6</w:t>
      </w:r>
      <w:r w:rsidRPr="006C5085">
        <w:t xml:space="preserve">) at its </w:t>
      </w:r>
      <w:r w:rsidR="00FD088D" w:rsidRPr="006C5085">
        <w:t>36</w:t>
      </w:r>
      <w:r w:rsidR="00FD088D" w:rsidRPr="006C5085">
        <w:rPr>
          <w:vertAlign w:val="superscript"/>
        </w:rPr>
        <w:t>t</w:t>
      </w:r>
      <w:r w:rsidRPr="006C5085">
        <w:rPr>
          <w:vertAlign w:val="superscript"/>
        </w:rPr>
        <w:t>h</w:t>
      </w:r>
      <w:r w:rsidR="00FD088D" w:rsidRPr="006C5085">
        <w:t xml:space="preserve"> </w:t>
      </w:r>
      <w:r w:rsidRPr="006C5085">
        <w:t xml:space="preserve">and </w:t>
      </w:r>
      <w:r w:rsidR="00FD088D" w:rsidRPr="006C5085">
        <w:t>37</w:t>
      </w:r>
      <w:r w:rsidR="00FD088D" w:rsidRPr="006C5085">
        <w:rPr>
          <w:vertAlign w:val="superscript"/>
        </w:rPr>
        <w:t>th</w:t>
      </w:r>
      <w:r w:rsidR="00FD088D" w:rsidRPr="006C5085">
        <w:t xml:space="preserve"> </w:t>
      </w:r>
      <w:r w:rsidRPr="006C5085">
        <w:t>meetings (E/C.12/2016/SR.</w:t>
      </w:r>
      <w:r w:rsidR="00FD088D" w:rsidRPr="006C5085">
        <w:t>36 and 37</w:t>
      </w:r>
      <w:r w:rsidRPr="006C5085">
        <w:t xml:space="preserve">) held on </w:t>
      </w:r>
      <w:r w:rsidR="00B94D41" w:rsidRPr="006C5085">
        <w:t>15</w:t>
      </w:r>
      <w:r w:rsidRPr="006C5085">
        <w:t xml:space="preserve"> and </w:t>
      </w:r>
      <w:r w:rsidR="00B94D41" w:rsidRPr="006C5085">
        <w:t>16</w:t>
      </w:r>
      <w:r w:rsidRPr="006C5085">
        <w:t xml:space="preserve"> June 2016, and adopted the following concluding observations at its </w:t>
      </w:r>
      <w:r w:rsidR="00F2663A">
        <w:t>49</w:t>
      </w:r>
      <w:r w:rsidR="00F2663A" w:rsidRPr="009258A7">
        <w:rPr>
          <w:vertAlign w:val="superscript"/>
        </w:rPr>
        <w:t>th</w:t>
      </w:r>
      <w:r w:rsidR="00F2663A">
        <w:t xml:space="preserve"> </w:t>
      </w:r>
      <w:r w:rsidRPr="006C5085">
        <w:t>meeting, held on 24 June 2016.</w:t>
      </w:r>
    </w:p>
    <w:p w14:paraId="1F9FE622" w14:textId="77777777" w:rsidR="00C82F62" w:rsidRPr="006C5085" w:rsidRDefault="00C82F62" w:rsidP="00C82F62">
      <w:pPr>
        <w:pStyle w:val="H1G"/>
      </w:pPr>
      <w:r w:rsidRPr="006C5085">
        <w:tab/>
        <w:t>A.</w:t>
      </w:r>
      <w:r w:rsidRPr="006C5085">
        <w:tab/>
        <w:t>Introduction</w:t>
      </w:r>
    </w:p>
    <w:p w14:paraId="544C5AE1" w14:textId="0BB57778" w:rsidR="0039527A" w:rsidRPr="006C5085" w:rsidRDefault="00C82F62" w:rsidP="0039527A">
      <w:pPr>
        <w:pStyle w:val="SingleTxtG"/>
        <w:numPr>
          <w:ilvl w:val="0"/>
          <w:numId w:val="17"/>
        </w:numPr>
        <w:tabs>
          <w:tab w:val="left" w:pos="1701"/>
        </w:tabs>
        <w:ind w:left="1134" w:firstLine="0"/>
      </w:pPr>
      <w:r w:rsidRPr="006C5085">
        <w:t xml:space="preserve">The Committee welcomes </w:t>
      </w:r>
      <w:r w:rsidR="008C3D60" w:rsidRPr="006C5085">
        <w:t>the sixth periodic report submitted by the State party and the supplementary information provided in the replies to the list of issues (E/C.12/GBR/Q/6/Add.1). The Committee also welcomes the constructive dialogue held with the inter-ministerial delegation of the State party</w:t>
      </w:r>
      <w:r w:rsidR="0097583C" w:rsidRPr="006C5085">
        <w:t>, including the governments of Scotland and Wales</w:t>
      </w:r>
      <w:r w:rsidR="003066C7" w:rsidRPr="006C5085">
        <w:t>.</w:t>
      </w:r>
      <w:r w:rsidR="004A3431">
        <w:t xml:space="preserve"> The Committee regrets that the absence of representatives of the </w:t>
      </w:r>
      <w:r w:rsidR="00DC31C0">
        <w:t xml:space="preserve">government </w:t>
      </w:r>
      <w:r w:rsidR="00CF30B7">
        <w:t>of</w:t>
      </w:r>
      <w:r w:rsidR="00DC31C0">
        <w:t xml:space="preserve"> </w:t>
      </w:r>
      <w:r w:rsidR="004A3431">
        <w:t xml:space="preserve">Northern Ireland did not enable it to have a full assessment </w:t>
      </w:r>
      <w:r w:rsidR="00CF30B7">
        <w:t xml:space="preserve">of </w:t>
      </w:r>
      <w:r w:rsidR="004A3431">
        <w:t>the enjoyment of Covenant rights in Northern Ireland</w:t>
      </w:r>
      <w:r w:rsidR="00DC31C0">
        <w:t>.</w:t>
      </w:r>
    </w:p>
    <w:p w14:paraId="104740E2" w14:textId="77777777" w:rsidR="00E04FFD" w:rsidRPr="006C5085" w:rsidRDefault="00C82F62" w:rsidP="00C82F62">
      <w:pPr>
        <w:pStyle w:val="H1G"/>
      </w:pPr>
      <w:r w:rsidRPr="006C5085">
        <w:tab/>
        <w:t>B.</w:t>
      </w:r>
      <w:r w:rsidRPr="006C5085">
        <w:tab/>
        <w:t>Positive aspects</w:t>
      </w:r>
    </w:p>
    <w:p w14:paraId="1890DB19" w14:textId="4745CB24" w:rsidR="00120DE4" w:rsidRPr="006C5085" w:rsidRDefault="00120DE4" w:rsidP="00120DE4">
      <w:pPr>
        <w:pStyle w:val="SingleTxtG"/>
        <w:numPr>
          <w:ilvl w:val="0"/>
          <w:numId w:val="17"/>
        </w:numPr>
        <w:tabs>
          <w:tab w:val="left" w:pos="1701"/>
        </w:tabs>
        <w:ind w:left="1134" w:firstLine="0"/>
      </w:pPr>
      <w:r w:rsidRPr="006C5085">
        <w:t xml:space="preserve">The Committee welcomes the ratification of </w:t>
      </w:r>
      <w:r w:rsidR="00A51BC0" w:rsidRPr="006C5085">
        <w:t>the Convention on the Rights of Persons with Disabilities on 8 June 2009 and its Optional Protocol on 7 August</w:t>
      </w:r>
      <w:r w:rsidR="0097583C" w:rsidRPr="006C5085">
        <w:t xml:space="preserve"> 20</w:t>
      </w:r>
      <w:r w:rsidR="00E631A9" w:rsidRPr="006C5085">
        <w:t>09</w:t>
      </w:r>
      <w:r w:rsidR="00A51BC0" w:rsidRPr="006C5085">
        <w:t>.</w:t>
      </w:r>
    </w:p>
    <w:p w14:paraId="0831FC04" w14:textId="535E87D4" w:rsidR="00F96B49" w:rsidRPr="006C5085" w:rsidRDefault="00120DE4" w:rsidP="00120DE4">
      <w:pPr>
        <w:pStyle w:val="SingleTxtG"/>
        <w:numPr>
          <w:ilvl w:val="0"/>
          <w:numId w:val="17"/>
        </w:numPr>
        <w:tabs>
          <w:tab w:val="left" w:pos="1701"/>
        </w:tabs>
        <w:ind w:left="1134" w:firstLine="0"/>
      </w:pPr>
      <w:r w:rsidRPr="006C5085">
        <w:t xml:space="preserve">The Committee notes with appreciation the </w:t>
      </w:r>
      <w:r w:rsidR="004A3431">
        <w:t>adoption of</w:t>
      </w:r>
      <w:r w:rsidRPr="006C5085">
        <w:t>:</w:t>
      </w:r>
      <w:r w:rsidR="00F96B49" w:rsidRPr="006C5085">
        <w:tab/>
      </w:r>
    </w:p>
    <w:p w14:paraId="0864F845" w14:textId="4BB500EC" w:rsidR="008A342B" w:rsidRPr="006C5085" w:rsidRDefault="008A342B" w:rsidP="00F932CA">
      <w:pPr>
        <w:pStyle w:val="SingleTxtG"/>
        <w:numPr>
          <w:ilvl w:val="0"/>
          <w:numId w:val="20"/>
        </w:numPr>
        <w:ind w:left="1134" w:firstLine="567"/>
      </w:pPr>
      <w:r w:rsidRPr="006C5085">
        <w:t>The Modern Slavery Act of 2015;</w:t>
      </w:r>
    </w:p>
    <w:p w14:paraId="03EE96E4" w14:textId="79F13EC3" w:rsidR="0030213C" w:rsidRPr="006C5085" w:rsidRDefault="0030213C" w:rsidP="00F932CA">
      <w:pPr>
        <w:pStyle w:val="SingleTxtG"/>
        <w:numPr>
          <w:ilvl w:val="0"/>
          <w:numId w:val="20"/>
        </w:numPr>
        <w:ind w:left="1134" w:firstLine="567"/>
      </w:pPr>
      <w:r w:rsidRPr="006C5085">
        <w:t xml:space="preserve">The Care Act </w:t>
      </w:r>
      <w:r w:rsidR="008A342B" w:rsidRPr="006C5085">
        <w:t>of 14 May 2014;</w:t>
      </w:r>
    </w:p>
    <w:p w14:paraId="009DE632" w14:textId="3F628621" w:rsidR="008B04A7" w:rsidRPr="006C5085" w:rsidRDefault="0030213C" w:rsidP="00F932CA">
      <w:pPr>
        <w:pStyle w:val="SingleTxtG"/>
        <w:ind w:firstLine="567"/>
      </w:pPr>
      <w:r w:rsidRPr="006C5085">
        <w:t>(</w:t>
      </w:r>
      <w:r w:rsidR="00DA47F0" w:rsidRPr="006C5085">
        <w:t>d</w:t>
      </w:r>
      <w:r w:rsidRPr="006C5085">
        <w:t>)</w:t>
      </w:r>
      <w:r w:rsidRPr="006C5085">
        <w:tab/>
      </w:r>
      <w:r w:rsidR="008B04A7" w:rsidRPr="006C5085">
        <w:t>The New Scots: Integrating Refugees in Scotland’s Communities (2014-2017)</w:t>
      </w:r>
      <w:r w:rsidR="00F84D8A" w:rsidRPr="006C5085">
        <w:t>;</w:t>
      </w:r>
      <w:r w:rsidR="00BF0CCD" w:rsidRPr="006C5085">
        <w:t xml:space="preserve"> </w:t>
      </w:r>
      <w:r w:rsidR="00F84D8A" w:rsidRPr="006C5085">
        <w:t>and</w:t>
      </w:r>
    </w:p>
    <w:p w14:paraId="37B33F36" w14:textId="5DBD6CC6" w:rsidR="00DA47F0" w:rsidRPr="006C5085" w:rsidRDefault="00DA47F0" w:rsidP="00F932CA">
      <w:pPr>
        <w:pStyle w:val="SingleTxtG"/>
        <w:ind w:firstLine="567"/>
      </w:pPr>
      <w:r w:rsidRPr="006C5085">
        <w:t>(e)</w:t>
      </w:r>
      <w:r w:rsidRPr="006C5085">
        <w:tab/>
      </w:r>
      <w:r w:rsidR="00BD40D7">
        <w:t xml:space="preserve">Scotland’s </w:t>
      </w:r>
      <w:r w:rsidRPr="006C5085">
        <w:t xml:space="preserve">National Action Plan for Human Rights </w:t>
      </w:r>
      <w:r w:rsidR="00FA14EA" w:rsidRPr="006C5085">
        <w:t>(2013-2017)</w:t>
      </w:r>
      <w:r w:rsidR="00F932CA">
        <w:t>.</w:t>
      </w:r>
    </w:p>
    <w:p w14:paraId="4494BD3E" w14:textId="77777777" w:rsidR="00C82F62" w:rsidRPr="006C5085" w:rsidRDefault="00C82F62" w:rsidP="00FA14EA">
      <w:pPr>
        <w:pStyle w:val="H1G"/>
        <w:ind w:left="0" w:firstLine="0"/>
      </w:pPr>
      <w:r w:rsidRPr="006C5085">
        <w:lastRenderedPageBreak/>
        <w:tab/>
        <w:t>C.</w:t>
      </w:r>
      <w:r w:rsidRPr="006C5085">
        <w:tab/>
        <w:t>Principal subjects of concern and recommendations</w:t>
      </w:r>
    </w:p>
    <w:p w14:paraId="192CCC64" w14:textId="4702C6F0" w:rsidR="00941D16" w:rsidRPr="006C5085" w:rsidRDefault="009A1E28" w:rsidP="00F932CA">
      <w:pPr>
        <w:pStyle w:val="H23G"/>
        <w:ind w:firstLine="0"/>
      </w:pPr>
      <w:r w:rsidRPr="006C5085">
        <w:t>Justiciability of economic, social and cultural rights</w:t>
      </w:r>
    </w:p>
    <w:p w14:paraId="66A9E79A" w14:textId="4402AC01" w:rsidR="00F96B49" w:rsidRPr="006C5085" w:rsidRDefault="00FA14EA" w:rsidP="009A1E28">
      <w:pPr>
        <w:pStyle w:val="SingleTxtG"/>
        <w:numPr>
          <w:ilvl w:val="0"/>
          <w:numId w:val="17"/>
        </w:numPr>
        <w:tabs>
          <w:tab w:val="left" w:pos="1701"/>
        </w:tabs>
        <w:ind w:left="1134" w:firstLine="0"/>
      </w:pPr>
      <w:r w:rsidRPr="006C5085">
        <w:t xml:space="preserve">While the Committee </w:t>
      </w:r>
      <w:r w:rsidR="00C329F8" w:rsidRPr="006C5085">
        <w:t xml:space="preserve">takes note of the State party’s views on </w:t>
      </w:r>
      <w:r w:rsidR="009A1E28" w:rsidRPr="006C5085">
        <w:t>the incorporation of the Covenant rights into the domestic legislation</w:t>
      </w:r>
      <w:r w:rsidR="00C329F8" w:rsidRPr="006C5085">
        <w:t>, the Committee r</w:t>
      </w:r>
      <w:r w:rsidR="00301689" w:rsidRPr="006C5085">
        <w:t xml:space="preserve">egrets that </w:t>
      </w:r>
      <w:r w:rsidR="00C329F8" w:rsidRPr="006C5085">
        <w:t xml:space="preserve">the </w:t>
      </w:r>
      <w:r w:rsidR="000E58EE" w:rsidRPr="006C5085">
        <w:t xml:space="preserve">Covenant rights </w:t>
      </w:r>
      <w:r w:rsidR="0097583C" w:rsidRPr="006C5085">
        <w:t xml:space="preserve">cannot be directly </w:t>
      </w:r>
      <w:r w:rsidR="0068630D">
        <w:t>applied by</w:t>
      </w:r>
      <w:r w:rsidR="0097583C" w:rsidRPr="006C5085">
        <w:t xml:space="preserve"> domestic courts</w:t>
      </w:r>
      <w:r w:rsidR="004A3431">
        <w:t>, which may restrict the access to</w:t>
      </w:r>
      <w:r w:rsidR="00C329F8" w:rsidRPr="006C5085">
        <w:t xml:space="preserve"> </w:t>
      </w:r>
      <w:r w:rsidR="000E58EE" w:rsidRPr="006C5085">
        <w:t xml:space="preserve">effective </w:t>
      </w:r>
      <w:r w:rsidR="00E13ABB" w:rsidRPr="006C5085">
        <w:t>legal</w:t>
      </w:r>
      <w:r w:rsidR="009A1E28" w:rsidRPr="006C5085">
        <w:t xml:space="preserve"> remedies</w:t>
      </w:r>
      <w:r w:rsidR="000E58EE" w:rsidRPr="006C5085">
        <w:t xml:space="preserve"> </w:t>
      </w:r>
      <w:r w:rsidR="009A1E28" w:rsidRPr="006C5085">
        <w:t xml:space="preserve">for violations of </w:t>
      </w:r>
      <w:r w:rsidR="00E13ABB" w:rsidRPr="006C5085">
        <w:t>Covenant</w:t>
      </w:r>
      <w:r w:rsidR="009A1E28" w:rsidRPr="006C5085">
        <w:t xml:space="preserve"> rights</w:t>
      </w:r>
      <w:r w:rsidR="00E13ABB" w:rsidRPr="006C5085">
        <w:t>.</w:t>
      </w:r>
    </w:p>
    <w:p w14:paraId="1F26DF88" w14:textId="358D8A71" w:rsidR="008955CF" w:rsidRPr="006C5085" w:rsidRDefault="00BF0FED" w:rsidP="009A1E28">
      <w:pPr>
        <w:pStyle w:val="SingleTxtG"/>
        <w:numPr>
          <w:ilvl w:val="0"/>
          <w:numId w:val="17"/>
        </w:numPr>
        <w:tabs>
          <w:tab w:val="left" w:pos="1701"/>
        </w:tabs>
        <w:ind w:left="1134" w:firstLine="0"/>
        <w:rPr>
          <w:b/>
        </w:rPr>
      </w:pPr>
      <w:r w:rsidRPr="006C5085">
        <w:rPr>
          <w:b/>
        </w:rPr>
        <w:t xml:space="preserve">The Committee recalls its previous recommendation </w:t>
      </w:r>
      <w:r w:rsidR="000E58EE" w:rsidRPr="006C5085">
        <w:rPr>
          <w:b/>
        </w:rPr>
        <w:t>(E/C.12/GBR/CO/5, para</w:t>
      </w:r>
      <w:r w:rsidR="00236880" w:rsidRPr="006C5085">
        <w:rPr>
          <w:b/>
        </w:rPr>
        <w:t>.</w:t>
      </w:r>
      <w:r w:rsidRPr="006C5085">
        <w:rPr>
          <w:b/>
        </w:rPr>
        <w:t xml:space="preserve"> </w:t>
      </w:r>
      <w:r w:rsidR="000E58EE" w:rsidRPr="006C5085">
        <w:rPr>
          <w:b/>
        </w:rPr>
        <w:t>13</w:t>
      </w:r>
      <w:r w:rsidR="003F2EA1" w:rsidRPr="006C5085">
        <w:rPr>
          <w:b/>
        </w:rPr>
        <w:t>)</w:t>
      </w:r>
      <w:r w:rsidRPr="006C5085">
        <w:rPr>
          <w:b/>
        </w:rPr>
        <w:t xml:space="preserve"> and</w:t>
      </w:r>
      <w:r w:rsidR="00D63758" w:rsidRPr="006C5085">
        <w:rPr>
          <w:b/>
        </w:rPr>
        <w:t xml:space="preserve"> </w:t>
      </w:r>
      <w:r w:rsidR="000E58EE" w:rsidRPr="006C5085">
        <w:rPr>
          <w:b/>
        </w:rPr>
        <w:t>urges</w:t>
      </w:r>
      <w:r w:rsidR="00E13ABB" w:rsidRPr="006C5085">
        <w:rPr>
          <w:b/>
        </w:rPr>
        <w:t xml:space="preserve"> the State party</w:t>
      </w:r>
      <w:r w:rsidR="000E58EE" w:rsidRPr="006C5085">
        <w:rPr>
          <w:b/>
        </w:rPr>
        <w:t xml:space="preserve"> to</w:t>
      </w:r>
      <w:r w:rsidR="00E625A2">
        <w:rPr>
          <w:b/>
        </w:rPr>
        <w:t xml:space="preserve"> fully </w:t>
      </w:r>
      <w:r w:rsidR="004A3431">
        <w:rPr>
          <w:b/>
        </w:rPr>
        <w:t xml:space="preserve">incorporate the Covenant rights into </w:t>
      </w:r>
      <w:r w:rsidR="00E13ABB" w:rsidRPr="006C5085">
        <w:rPr>
          <w:b/>
        </w:rPr>
        <w:t>its domestic legal order</w:t>
      </w:r>
      <w:r w:rsidR="00B5298B" w:rsidRPr="006C5085">
        <w:rPr>
          <w:b/>
        </w:rPr>
        <w:t xml:space="preserve"> and ensure that victims </w:t>
      </w:r>
      <w:r w:rsidR="000E58EE" w:rsidRPr="006C5085">
        <w:rPr>
          <w:b/>
        </w:rPr>
        <w:t xml:space="preserve">of violations of economic, social and cultural rights </w:t>
      </w:r>
      <w:r w:rsidR="00B5298B" w:rsidRPr="006C5085">
        <w:rPr>
          <w:b/>
        </w:rPr>
        <w:t xml:space="preserve">have </w:t>
      </w:r>
      <w:r w:rsidR="00890560">
        <w:rPr>
          <w:b/>
        </w:rPr>
        <w:t xml:space="preserve">full </w:t>
      </w:r>
      <w:r w:rsidR="00B5298B" w:rsidRPr="006C5085">
        <w:rPr>
          <w:b/>
        </w:rPr>
        <w:t xml:space="preserve">access to effective </w:t>
      </w:r>
      <w:r w:rsidR="000E58EE" w:rsidRPr="006C5085">
        <w:rPr>
          <w:b/>
        </w:rPr>
        <w:t xml:space="preserve">legal </w:t>
      </w:r>
      <w:r w:rsidR="00B5298B" w:rsidRPr="006C5085">
        <w:rPr>
          <w:b/>
        </w:rPr>
        <w:t>remedies</w:t>
      </w:r>
      <w:r w:rsidR="00E13ABB" w:rsidRPr="006C5085">
        <w:rPr>
          <w:b/>
        </w:rPr>
        <w:t>.</w:t>
      </w:r>
      <w:r w:rsidR="003F2EA1" w:rsidRPr="006C5085">
        <w:rPr>
          <w:b/>
        </w:rPr>
        <w:t xml:space="preserve"> The Committee draws the </w:t>
      </w:r>
      <w:r w:rsidRPr="006C5085">
        <w:rPr>
          <w:b/>
        </w:rPr>
        <w:t>attention</w:t>
      </w:r>
      <w:r w:rsidR="003F2EA1" w:rsidRPr="006C5085">
        <w:rPr>
          <w:b/>
        </w:rPr>
        <w:t xml:space="preserve"> of the State party</w:t>
      </w:r>
      <w:r w:rsidRPr="006C5085">
        <w:rPr>
          <w:b/>
        </w:rPr>
        <w:t xml:space="preserve"> to </w:t>
      </w:r>
      <w:r w:rsidR="003F2EA1" w:rsidRPr="006C5085">
        <w:rPr>
          <w:b/>
        </w:rPr>
        <w:t xml:space="preserve">its </w:t>
      </w:r>
      <w:r w:rsidRPr="006C5085">
        <w:rPr>
          <w:b/>
        </w:rPr>
        <w:t>General Comment N° 9 (1998) on the domestic application of the Covenant.</w:t>
      </w:r>
    </w:p>
    <w:p w14:paraId="7D785493" w14:textId="1204CFFE" w:rsidR="00E219E8" w:rsidRPr="00F932CA" w:rsidRDefault="00E219E8" w:rsidP="00F932CA">
      <w:pPr>
        <w:pStyle w:val="H23G"/>
        <w:ind w:firstLine="0"/>
      </w:pPr>
      <w:r w:rsidRPr="006C5085">
        <w:t>Devolved administrations</w:t>
      </w:r>
    </w:p>
    <w:p w14:paraId="0DBB5682" w14:textId="31AF7943" w:rsidR="00213B74" w:rsidRPr="006C5085" w:rsidRDefault="00236880" w:rsidP="00213B74">
      <w:pPr>
        <w:pStyle w:val="SingleTxtG"/>
        <w:numPr>
          <w:ilvl w:val="0"/>
          <w:numId w:val="17"/>
        </w:numPr>
        <w:tabs>
          <w:tab w:val="left" w:pos="1701"/>
        </w:tabs>
        <w:ind w:left="1134" w:firstLine="0"/>
      </w:pPr>
      <w:r w:rsidRPr="006C5085">
        <w:t xml:space="preserve">While </w:t>
      </w:r>
      <w:r w:rsidR="00BF0CCD" w:rsidRPr="006C5085">
        <w:t xml:space="preserve">noting the </w:t>
      </w:r>
      <w:r w:rsidR="00E46A32" w:rsidRPr="006C5085">
        <w:t>complex structure of the State party, with devolved administrations in Wales, Scotland and Northern Ireland</w:t>
      </w:r>
      <w:r w:rsidR="00BF0CCD" w:rsidRPr="006C5085">
        <w:t xml:space="preserve">, as well as </w:t>
      </w:r>
      <w:r w:rsidR="00E46A32" w:rsidRPr="006C5085">
        <w:t xml:space="preserve">its responsibility with regard to the  British Overseas Territories and the Crown Dependencies, the Committee </w:t>
      </w:r>
      <w:r w:rsidR="00213B74" w:rsidRPr="006C5085">
        <w:t xml:space="preserve">regrets </w:t>
      </w:r>
      <w:r w:rsidR="00E46A32" w:rsidRPr="006C5085">
        <w:t xml:space="preserve">the lack of involvement and participation of Northern Ireland </w:t>
      </w:r>
      <w:r w:rsidR="00213B74" w:rsidRPr="006C5085">
        <w:t xml:space="preserve">in the review process </w:t>
      </w:r>
      <w:r w:rsidR="00BF0CCD" w:rsidRPr="006C5085">
        <w:t>and</w:t>
      </w:r>
      <w:r w:rsidRPr="006C5085">
        <w:t xml:space="preserve"> </w:t>
      </w:r>
      <w:r w:rsidR="00213B74" w:rsidRPr="006C5085">
        <w:t>the limited information available on the enjoyment of economic, social and cultural rights in the British Overseas Territories and the Crown Dependencies (</w:t>
      </w:r>
      <w:r w:rsidR="00F2663A">
        <w:t>a</w:t>
      </w:r>
      <w:r w:rsidR="00F2663A" w:rsidRPr="006C5085">
        <w:t>rt</w:t>
      </w:r>
      <w:r w:rsidR="00213B74" w:rsidRPr="006C5085">
        <w:t>. 2).</w:t>
      </w:r>
    </w:p>
    <w:p w14:paraId="799D7697" w14:textId="2063AC7C" w:rsidR="00213B74" w:rsidRPr="006C5085" w:rsidRDefault="00236880" w:rsidP="00213B74">
      <w:pPr>
        <w:pStyle w:val="SingleTxtG"/>
        <w:numPr>
          <w:ilvl w:val="0"/>
          <w:numId w:val="17"/>
        </w:numPr>
        <w:tabs>
          <w:tab w:val="left" w:pos="1701"/>
        </w:tabs>
        <w:ind w:left="1134" w:firstLine="0"/>
      </w:pPr>
      <w:r w:rsidRPr="006C5085">
        <w:rPr>
          <w:b/>
        </w:rPr>
        <w:t>In line with its previous recommendation (E/C.12/GBR/CO/5, para. 12), t</w:t>
      </w:r>
      <w:r w:rsidR="00213B74" w:rsidRPr="006C5085">
        <w:rPr>
          <w:b/>
        </w:rPr>
        <w:t>he Committee re</w:t>
      </w:r>
      <w:r w:rsidR="00684A71" w:rsidRPr="006C5085">
        <w:rPr>
          <w:b/>
        </w:rPr>
        <w:t>minds</w:t>
      </w:r>
      <w:r w:rsidR="00213B74" w:rsidRPr="006C5085">
        <w:rPr>
          <w:b/>
        </w:rPr>
        <w:t xml:space="preserve"> the State party </w:t>
      </w:r>
      <w:r w:rsidR="00CF30B7">
        <w:rPr>
          <w:b/>
        </w:rPr>
        <w:t>of</w:t>
      </w:r>
      <w:r w:rsidR="00CF30B7" w:rsidRPr="006C5085">
        <w:rPr>
          <w:b/>
        </w:rPr>
        <w:t xml:space="preserve"> </w:t>
      </w:r>
      <w:r w:rsidR="00213B74" w:rsidRPr="006C5085">
        <w:rPr>
          <w:b/>
        </w:rPr>
        <w:t xml:space="preserve">its </w:t>
      </w:r>
      <w:r w:rsidR="00E625A2">
        <w:rPr>
          <w:b/>
        </w:rPr>
        <w:t>ultimate</w:t>
      </w:r>
      <w:r w:rsidR="00E625A2" w:rsidRPr="006C5085">
        <w:rPr>
          <w:b/>
        </w:rPr>
        <w:t xml:space="preserve"> </w:t>
      </w:r>
      <w:r w:rsidR="00213B74" w:rsidRPr="006C5085">
        <w:rPr>
          <w:b/>
        </w:rPr>
        <w:t xml:space="preserve">responsibility for the implementation of the Covenant in all </w:t>
      </w:r>
      <w:r w:rsidR="00BF0CCD" w:rsidRPr="006C5085">
        <w:rPr>
          <w:b/>
        </w:rPr>
        <w:t>its jurisdictions, including the British Overseas T</w:t>
      </w:r>
      <w:r w:rsidR="00213B74" w:rsidRPr="006C5085">
        <w:rPr>
          <w:b/>
        </w:rPr>
        <w:t xml:space="preserve">erritories </w:t>
      </w:r>
      <w:r w:rsidRPr="006C5085">
        <w:rPr>
          <w:b/>
        </w:rPr>
        <w:t xml:space="preserve">and </w:t>
      </w:r>
      <w:r w:rsidR="00BF0CCD" w:rsidRPr="006C5085">
        <w:rPr>
          <w:b/>
        </w:rPr>
        <w:t>Crown Dependencies</w:t>
      </w:r>
      <w:r w:rsidR="0097583C" w:rsidRPr="006C5085">
        <w:rPr>
          <w:b/>
        </w:rPr>
        <w:t>,</w:t>
      </w:r>
      <w:r w:rsidR="00BF0CCD" w:rsidRPr="006C5085">
        <w:rPr>
          <w:b/>
        </w:rPr>
        <w:t xml:space="preserve"> and recommends that the</w:t>
      </w:r>
      <w:r w:rsidRPr="006C5085">
        <w:rPr>
          <w:b/>
        </w:rPr>
        <w:t xml:space="preserve"> State party take all necessary measures to ensure </w:t>
      </w:r>
      <w:r w:rsidR="008B293B">
        <w:rPr>
          <w:b/>
        </w:rPr>
        <w:t xml:space="preserve">the full enjoyment </w:t>
      </w:r>
      <w:r w:rsidRPr="006C5085">
        <w:rPr>
          <w:b/>
        </w:rPr>
        <w:t xml:space="preserve">of economic, social cultural rights </w:t>
      </w:r>
      <w:r w:rsidR="008B293B">
        <w:rPr>
          <w:b/>
        </w:rPr>
        <w:t>by</w:t>
      </w:r>
      <w:r w:rsidR="008B293B" w:rsidRPr="006C5085">
        <w:rPr>
          <w:b/>
        </w:rPr>
        <w:t xml:space="preserve"> </w:t>
      </w:r>
      <w:r w:rsidRPr="006C5085">
        <w:rPr>
          <w:b/>
        </w:rPr>
        <w:t>all persons under its jurisdiction</w:t>
      </w:r>
      <w:r w:rsidR="008B293B">
        <w:rPr>
          <w:b/>
        </w:rPr>
        <w:t>.</w:t>
      </w:r>
    </w:p>
    <w:p w14:paraId="315A1D0E" w14:textId="2ADCDAEE" w:rsidR="00B637B2" w:rsidRPr="00F932CA" w:rsidRDefault="00B637B2" w:rsidP="00F932CA">
      <w:pPr>
        <w:pStyle w:val="H23G"/>
        <w:ind w:firstLine="0"/>
      </w:pPr>
      <w:r w:rsidRPr="006C5085">
        <w:t>Bill of Rights</w:t>
      </w:r>
    </w:p>
    <w:p w14:paraId="691961D9" w14:textId="75C793AE" w:rsidR="00B637B2" w:rsidRPr="006C5085" w:rsidRDefault="00BB005C" w:rsidP="00B637B2">
      <w:pPr>
        <w:pStyle w:val="SingleTxtG"/>
        <w:numPr>
          <w:ilvl w:val="0"/>
          <w:numId w:val="17"/>
        </w:numPr>
        <w:tabs>
          <w:tab w:val="left" w:pos="1701"/>
        </w:tabs>
        <w:ind w:left="1134" w:firstLine="0"/>
      </w:pPr>
      <w:r w:rsidRPr="006C5085">
        <w:t>T</w:t>
      </w:r>
      <w:r w:rsidR="00B47D95" w:rsidRPr="006C5085">
        <w:t xml:space="preserve">he Committee </w:t>
      </w:r>
      <w:r w:rsidR="00291110" w:rsidRPr="006C5085">
        <w:t xml:space="preserve">takes note of the concerns raised by national stakeholders with regard to the announced </w:t>
      </w:r>
      <w:r w:rsidRPr="006C5085">
        <w:t xml:space="preserve">plan </w:t>
      </w:r>
      <w:r w:rsidR="00291110" w:rsidRPr="006C5085">
        <w:t xml:space="preserve">of replacing the </w:t>
      </w:r>
      <w:r w:rsidRPr="006C5085">
        <w:t xml:space="preserve">Human Rights Act of 1998 by a new British Bill of Rights, </w:t>
      </w:r>
      <w:r w:rsidR="00291110" w:rsidRPr="006C5085">
        <w:t xml:space="preserve">according to </w:t>
      </w:r>
      <w:r w:rsidRPr="006C5085">
        <w:t>which</w:t>
      </w:r>
      <w:r w:rsidR="00E90FAC">
        <w:t>,</w:t>
      </w:r>
      <w:r w:rsidRPr="006C5085">
        <w:t xml:space="preserve"> </w:t>
      </w:r>
      <w:r w:rsidR="00291110" w:rsidRPr="006C5085">
        <w:t xml:space="preserve">it </w:t>
      </w:r>
      <w:r w:rsidRPr="006C5085">
        <w:t xml:space="preserve">may </w:t>
      </w:r>
      <w:r w:rsidR="0097583C" w:rsidRPr="006C5085">
        <w:t xml:space="preserve">lower the </w:t>
      </w:r>
      <w:r w:rsidR="00CF30B7">
        <w:t xml:space="preserve">status </w:t>
      </w:r>
      <w:r w:rsidR="00890560">
        <w:t xml:space="preserve">of international and regional human rights standards, </w:t>
      </w:r>
      <w:r w:rsidRPr="006C5085">
        <w:t>including economic, social and cultural rights in the State party</w:t>
      </w:r>
      <w:r w:rsidR="00B457B6" w:rsidRPr="006C5085">
        <w:t xml:space="preserve">. The Committee </w:t>
      </w:r>
      <w:r w:rsidR="00490D27" w:rsidRPr="006C5085">
        <w:t xml:space="preserve">regrets that </w:t>
      </w:r>
      <w:r w:rsidR="00291110" w:rsidRPr="006C5085">
        <w:t>a</w:t>
      </w:r>
      <w:r w:rsidR="00490D27" w:rsidRPr="006C5085">
        <w:t xml:space="preserve"> Bill of Rights for Northern Ireland has not yet been adopted</w:t>
      </w:r>
      <w:r w:rsidR="00DC31C0">
        <w:t>, as provided by the Belfast (Good Friday) Agreement</w:t>
      </w:r>
      <w:r w:rsidR="00490D27" w:rsidRPr="006C5085">
        <w:t>.</w:t>
      </w:r>
    </w:p>
    <w:p w14:paraId="3607D849" w14:textId="04797566" w:rsidR="00AF2814" w:rsidRPr="006C5085" w:rsidRDefault="00792B02" w:rsidP="00BD3BC7">
      <w:pPr>
        <w:pStyle w:val="SingleTxtG"/>
        <w:numPr>
          <w:ilvl w:val="0"/>
          <w:numId w:val="17"/>
        </w:numPr>
        <w:tabs>
          <w:tab w:val="left" w:pos="1701"/>
        </w:tabs>
        <w:ind w:left="1134" w:firstLine="0"/>
        <w:rPr>
          <w:rFonts w:eastAsia="Calibri"/>
          <w:b/>
          <w:lang w:eastAsia="en-GB"/>
        </w:rPr>
      </w:pPr>
      <w:r w:rsidRPr="006C5085">
        <w:rPr>
          <w:b/>
        </w:rPr>
        <w:t xml:space="preserve">The Committee recommends </w:t>
      </w:r>
      <w:r w:rsidR="00250437" w:rsidRPr="006C5085">
        <w:rPr>
          <w:b/>
        </w:rPr>
        <w:t xml:space="preserve">that </w:t>
      </w:r>
      <w:r w:rsidR="00490D27" w:rsidRPr="006C5085">
        <w:rPr>
          <w:b/>
        </w:rPr>
        <w:t>t</w:t>
      </w:r>
      <w:r w:rsidR="00AF2814" w:rsidRPr="006C5085">
        <w:rPr>
          <w:b/>
        </w:rPr>
        <w:t xml:space="preserve">he State party </w:t>
      </w:r>
      <w:r w:rsidR="00291110" w:rsidRPr="006C5085">
        <w:rPr>
          <w:b/>
        </w:rPr>
        <w:t>undertake</w:t>
      </w:r>
      <w:r w:rsidR="00AF2814" w:rsidRPr="006C5085">
        <w:rPr>
          <w:b/>
        </w:rPr>
        <w:t xml:space="preserve"> a broad </w:t>
      </w:r>
      <w:r w:rsidR="00291110" w:rsidRPr="006C5085">
        <w:rPr>
          <w:b/>
        </w:rPr>
        <w:t xml:space="preserve">public </w:t>
      </w:r>
      <w:r w:rsidR="00AF2814" w:rsidRPr="006C5085">
        <w:rPr>
          <w:b/>
        </w:rPr>
        <w:t>consultation on its plan to repeal the Human Rights Act of 1998</w:t>
      </w:r>
      <w:r w:rsidR="00291110" w:rsidRPr="006C5085">
        <w:rPr>
          <w:b/>
        </w:rPr>
        <w:t xml:space="preserve">, as well as on the proposal </w:t>
      </w:r>
      <w:r w:rsidR="0097583C" w:rsidRPr="006C5085">
        <w:rPr>
          <w:b/>
        </w:rPr>
        <w:t xml:space="preserve">for </w:t>
      </w:r>
      <w:r w:rsidR="00291110" w:rsidRPr="006C5085">
        <w:rPr>
          <w:b/>
        </w:rPr>
        <w:t xml:space="preserve">a </w:t>
      </w:r>
      <w:r w:rsidR="0097583C" w:rsidRPr="006C5085">
        <w:rPr>
          <w:b/>
        </w:rPr>
        <w:t xml:space="preserve">new </w:t>
      </w:r>
      <w:r w:rsidR="00291110" w:rsidRPr="006C5085">
        <w:rPr>
          <w:b/>
        </w:rPr>
        <w:t>Bill of Rights. It also recommends that the State party take all necessary measures to</w:t>
      </w:r>
      <w:r w:rsidR="00AF2814" w:rsidRPr="006C5085">
        <w:rPr>
          <w:b/>
        </w:rPr>
        <w:t xml:space="preserve"> </w:t>
      </w:r>
      <w:r w:rsidR="00AF2814" w:rsidRPr="006C5085">
        <w:rPr>
          <w:rFonts w:eastAsia="Calibri"/>
          <w:b/>
          <w:lang w:eastAsia="en-GB"/>
        </w:rPr>
        <w:t>ensure that any</w:t>
      </w:r>
      <w:r w:rsidR="00291110" w:rsidRPr="006C5085">
        <w:rPr>
          <w:rFonts w:eastAsia="Calibri"/>
          <w:b/>
          <w:lang w:eastAsia="en-GB"/>
        </w:rPr>
        <w:t xml:space="preserve"> new</w:t>
      </w:r>
      <w:r w:rsidR="00AF2814" w:rsidRPr="006C5085">
        <w:rPr>
          <w:rFonts w:eastAsia="Calibri"/>
          <w:b/>
          <w:lang w:eastAsia="en-GB"/>
        </w:rPr>
        <w:t xml:space="preserve"> legislation </w:t>
      </w:r>
      <w:r w:rsidR="00291110" w:rsidRPr="006C5085">
        <w:rPr>
          <w:rFonts w:eastAsia="Calibri"/>
          <w:b/>
          <w:lang w:eastAsia="en-GB"/>
        </w:rPr>
        <w:t xml:space="preserve">in this regard </w:t>
      </w:r>
      <w:r w:rsidR="00AF2814" w:rsidRPr="006C5085">
        <w:rPr>
          <w:rFonts w:eastAsia="Calibri"/>
          <w:b/>
          <w:lang w:eastAsia="en-GB"/>
        </w:rPr>
        <w:t>is aimed</w:t>
      </w:r>
      <w:r w:rsidR="00AF2814" w:rsidRPr="006C5085">
        <w:rPr>
          <w:rFonts w:eastAsia="Calibri"/>
          <w:b/>
          <w:lang w:eastAsia="en-GB" w:bidi="he-IL"/>
        </w:rPr>
        <w:t xml:space="preserve"> at </w:t>
      </w:r>
      <w:r w:rsidR="008748B6" w:rsidRPr="006C5085">
        <w:rPr>
          <w:rFonts w:eastAsia="Calibri"/>
          <w:b/>
          <w:lang w:eastAsia="en-GB" w:bidi="he-IL"/>
        </w:rPr>
        <w:t xml:space="preserve">enhancing </w:t>
      </w:r>
      <w:r w:rsidR="00AF2814" w:rsidRPr="006C5085">
        <w:rPr>
          <w:rFonts w:eastAsia="Calibri"/>
          <w:b/>
          <w:lang w:eastAsia="en-GB" w:bidi="he-IL"/>
        </w:rPr>
        <w:t>the status of human right</w:t>
      </w:r>
      <w:r w:rsidR="008748B6" w:rsidRPr="006C5085">
        <w:rPr>
          <w:rFonts w:eastAsia="Calibri"/>
          <w:b/>
          <w:lang w:eastAsia="en-GB" w:bidi="he-IL"/>
        </w:rPr>
        <w:t>s</w:t>
      </w:r>
      <w:r w:rsidR="00AF2814" w:rsidRPr="006C5085">
        <w:rPr>
          <w:rFonts w:eastAsia="Calibri"/>
          <w:b/>
          <w:lang w:eastAsia="en-GB" w:bidi="he-IL"/>
        </w:rPr>
        <w:t xml:space="preserve">, including economic, social and cultural rights in </w:t>
      </w:r>
      <w:r w:rsidR="00AF2814" w:rsidRPr="006C5085">
        <w:rPr>
          <w:rFonts w:eastAsia="Calibri"/>
          <w:b/>
          <w:lang w:eastAsia="en-GB"/>
        </w:rPr>
        <w:t>the domestic legal order, and provide effective protection of those rights across all jurisdictions</w:t>
      </w:r>
      <w:r w:rsidR="00250437" w:rsidRPr="006C5085">
        <w:rPr>
          <w:rFonts w:eastAsia="Calibri"/>
          <w:b/>
          <w:lang w:eastAsia="en-GB"/>
        </w:rPr>
        <w:t xml:space="preserve"> of the State party</w:t>
      </w:r>
      <w:r w:rsidR="00AF2814" w:rsidRPr="006C5085">
        <w:rPr>
          <w:rFonts w:eastAsia="Calibri"/>
          <w:b/>
          <w:lang w:eastAsia="en-GB"/>
        </w:rPr>
        <w:t>. The Committee recalls its previous recommendation (E/C.12/GBR/CO/5, para</w:t>
      </w:r>
      <w:r w:rsidR="00291110" w:rsidRPr="006C5085">
        <w:rPr>
          <w:rFonts w:eastAsia="Calibri"/>
          <w:b/>
          <w:lang w:eastAsia="en-GB"/>
        </w:rPr>
        <w:t>.</w:t>
      </w:r>
      <w:r w:rsidR="00AF2814" w:rsidRPr="006C5085">
        <w:rPr>
          <w:rFonts w:eastAsia="Calibri"/>
          <w:b/>
          <w:lang w:eastAsia="en-GB"/>
        </w:rPr>
        <w:t xml:space="preserve"> 10) and urges the State party</w:t>
      </w:r>
      <w:r w:rsidR="00250437" w:rsidRPr="006C5085">
        <w:rPr>
          <w:rFonts w:eastAsia="Calibri"/>
          <w:b/>
          <w:lang w:eastAsia="en-GB"/>
        </w:rPr>
        <w:t xml:space="preserve"> to</w:t>
      </w:r>
      <w:r w:rsidR="00AF2814" w:rsidRPr="006C5085">
        <w:rPr>
          <w:rFonts w:eastAsia="Calibri"/>
          <w:b/>
          <w:lang w:eastAsia="en-GB"/>
        </w:rPr>
        <w:t xml:space="preserve"> take all necessary measures to expedite the adoption of a Bill of Rights for Northern Ireland.</w:t>
      </w:r>
    </w:p>
    <w:p w14:paraId="5E08C7F9" w14:textId="42996ED8" w:rsidR="00E43501" w:rsidRPr="006C5085" w:rsidRDefault="00E43501" w:rsidP="00F932CA">
      <w:pPr>
        <w:pStyle w:val="H23G"/>
        <w:ind w:firstLine="0"/>
      </w:pPr>
      <w:r w:rsidRPr="006C5085">
        <w:t>Business and economic, social and cultural rights</w:t>
      </w:r>
    </w:p>
    <w:p w14:paraId="11EC7CA4" w14:textId="6AF419EB" w:rsidR="00E43501" w:rsidRPr="006C5085" w:rsidRDefault="00BD3BC7" w:rsidP="0041379E">
      <w:pPr>
        <w:pStyle w:val="SingleTxtG"/>
        <w:numPr>
          <w:ilvl w:val="0"/>
          <w:numId w:val="17"/>
        </w:numPr>
        <w:tabs>
          <w:tab w:val="left" w:pos="1701"/>
        </w:tabs>
        <w:ind w:left="1134" w:firstLine="0"/>
      </w:pPr>
      <w:r w:rsidRPr="006C5085">
        <w:t xml:space="preserve">The Committee welcomes the adoption of </w:t>
      </w:r>
      <w:r w:rsidR="00556469" w:rsidRPr="006C5085">
        <w:t>the National Action Plan on Business and Human Rights</w:t>
      </w:r>
      <w:r w:rsidRPr="006C5085">
        <w:t>. However,</w:t>
      </w:r>
      <w:r w:rsidR="00E43501" w:rsidRPr="006C5085">
        <w:t xml:space="preserve"> the Committee is concerned about the lack of a regulatory framework to ensure that companies operating in the State party, as well as companies </w:t>
      </w:r>
      <w:r w:rsidR="00E93B2B" w:rsidRPr="006C5085">
        <w:lastRenderedPageBreak/>
        <w:t xml:space="preserve">domiciled under its jurisdiction </w:t>
      </w:r>
      <w:r w:rsidR="00E43501" w:rsidRPr="006C5085">
        <w:t>acting abroad, fully respect economic, social and cultural rights</w:t>
      </w:r>
      <w:r w:rsidR="00AC28CC" w:rsidRPr="006C5085">
        <w:t xml:space="preserve">. </w:t>
      </w:r>
      <w:r w:rsidR="00E43501" w:rsidRPr="006C5085">
        <w:t>(art. 2, para. 1).</w:t>
      </w:r>
    </w:p>
    <w:p w14:paraId="3876699C" w14:textId="319330C7" w:rsidR="00E43501" w:rsidRPr="006C5085" w:rsidRDefault="00E43501" w:rsidP="00E43501">
      <w:pPr>
        <w:pStyle w:val="SingleTxtG"/>
        <w:numPr>
          <w:ilvl w:val="0"/>
          <w:numId w:val="17"/>
        </w:numPr>
        <w:tabs>
          <w:tab w:val="left" w:pos="1701"/>
        </w:tabs>
        <w:ind w:left="1134" w:firstLine="0"/>
        <w:rPr>
          <w:rFonts w:eastAsia="SimSun"/>
          <w:b/>
          <w:lang w:eastAsia="zh-CN"/>
        </w:rPr>
      </w:pPr>
      <w:r w:rsidRPr="006C5085">
        <w:rPr>
          <w:b/>
        </w:rPr>
        <w:t>The</w:t>
      </w:r>
      <w:r w:rsidRPr="006C5085">
        <w:rPr>
          <w:rFonts w:eastAsia="SimSun"/>
          <w:b/>
          <w:lang w:eastAsia="zh-CN"/>
        </w:rPr>
        <w:t xml:space="preserve"> Committee recommends that the State party:</w:t>
      </w:r>
    </w:p>
    <w:p w14:paraId="31BE4AD5" w14:textId="77777777" w:rsidR="00E43501" w:rsidRPr="006C5085" w:rsidRDefault="00E43501" w:rsidP="00E43501">
      <w:pPr>
        <w:pStyle w:val="SingleTxtG"/>
        <w:ind w:firstLine="567"/>
        <w:rPr>
          <w:b/>
        </w:rPr>
      </w:pPr>
      <w:r w:rsidRPr="006C5085">
        <w:rPr>
          <w:b/>
          <w:bCs/>
        </w:rPr>
        <w:t>(a)</w:t>
      </w:r>
      <w:r w:rsidRPr="006C5085">
        <w:rPr>
          <w:b/>
          <w:bCs/>
        </w:rPr>
        <w:tab/>
        <w:t>Establish a clear regulatory framework for companies operating in the State party to ensure that their activities do not negatively affect the enjoyment of economic, social and cultural human rights;</w:t>
      </w:r>
    </w:p>
    <w:p w14:paraId="363B20F5" w14:textId="76C3050D" w:rsidR="00AC28CC" w:rsidRPr="006C5085" w:rsidRDefault="00E43501" w:rsidP="00E43501">
      <w:pPr>
        <w:pStyle w:val="SingleTxtG"/>
        <w:ind w:firstLine="567"/>
        <w:rPr>
          <w:b/>
          <w:bCs/>
        </w:rPr>
      </w:pPr>
      <w:r w:rsidRPr="006C5085">
        <w:rPr>
          <w:rFonts w:eastAsia="SimSun"/>
          <w:b/>
          <w:lang w:eastAsia="zh-CN"/>
        </w:rPr>
        <w:t>(b)</w:t>
      </w:r>
      <w:r w:rsidRPr="006C5085">
        <w:rPr>
          <w:rFonts w:eastAsia="SimSun"/>
          <w:b/>
          <w:lang w:eastAsia="zh-CN"/>
        </w:rPr>
        <w:tab/>
        <w:t xml:space="preserve">Adopt appropriate legislative and administrative measures to ensure </w:t>
      </w:r>
      <w:r w:rsidRPr="006C5085">
        <w:rPr>
          <w:b/>
          <w:lang w:eastAsia="en-GB"/>
        </w:rPr>
        <w:t xml:space="preserve">legal liability of </w:t>
      </w:r>
      <w:r w:rsidRPr="006C5085">
        <w:rPr>
          <w:b/>
          <w:bCs/>
        </w:rPr>
        <w:t>companies</w:t>
      </w:r>
      <w:r w:rsidRPr="006C5085">
        <w:rPr>
          <w:b/>
          <w:lang w:eastAsia="en-GB"/>
        </w:rPr>
        <w:t xml:space="preserve"> </w:t>
      </w:r>
      <w:r w:rsidR="00E93B2B" w:rsidRPr="006C5085">
        <w:rPr>
          <w:b/>
          <w:bCs/>
        </w:rPr>
        <w:t>domiciled under the State party’s jurisdiction,</w:t>
      </w:r>
      <w:r w:rsidR="00A36609" w:rsidRPr="006C5085">
        <w:rPr>
          <w:b/>
          <w:bCs/>
        </w:rPr>
        <w:t xml:space="preserve"> </w:t>
      </w:r>
      <w:r w:rsidRPr="006C5085">
        <w:rPr>
          <w:b/>
          <w:bCs/>
        </w:rPr>
        <w:t>regarding violations of economic, social and cultural rights in their projects abroad</w:t>
      </w:r>
      <w:r w:rsidR="00890560">
        <w:rPr>
          <w:b/>
          <w:bCs/>
        </w:rPr>
        <w:t>, committed directly by these companies or resulting from the activities of their subsidiaries</w:t>
      </w:r>
      <w:r w:rsidR="00AC28CC" w:rsidRPr="006C5085">
        <w:rPr>
          <w:b/>
          <w:bCs/>
        </w:rPr>
        <w:t xml:space="preserve">; </w:t>
      </w:r>
      <w:r w:rsidR="00017D99" w:rsidRPr="006C5085">
        <w:rPr>
          <w:b/>
          <w:bCs/>
        </w:rPr>
        <w:t>and</w:t>
      </w:r>
    </w:p>
    <w:p w14:paraId="6C4999F4" w14:textId="2C0DA445" w:rsidR="00E43501" w:rsidRPr="006C5085" w:rsidRDefault="00F932CA" w:rsidP="00E43501">
      <w:pPr>
        <w:pStyle w:val="SingleTxtG"/>
        <w:ind w:firstLine="567"/>
        <w:rPr>
          <w:b/>
        </w:rPr>
      </w:pPr>
      <w:r>
        <w:rPr>
          <w:rFonts w:eastAsia="SimSun"/>
          <w:b/>
          <w:lang w:eastAsia="zh-CN"/>
        </w:rPr>
        <w:t>(c)</w:t>
      </w:r>
      <w:r w:rsidR="00AC28CC" w:rsidRPr="006C5085">
        <w:rPr>
          <w:rFonts w:eastAsia="SimSun"/>
          <w:b/>
          <w:lang w:eastAsia="zh-CN"/>
        </w:rPr>
        <w:tab/>
      </w:r>
      <w:r w:rsidR="008B293B">
        <w:rPr>
          <w:rFonts w:eastAsia="SimSun"/>
          <w:b/>
          <w:lang w:eastAsia="zh-CN"/>
        </w:rPr>
        <w:t>C</w:t>
      </w:r>
      <w:r w:rsidR="008B293B" w:rsidRPr="006C5085">
        <w:rPr>
          <w:rFonts w:eastAsia="SimSun"/>
          <w:b/>
          <w:lang w:eastAsia="zh-CN"/>
        </w:rPr>
        <w:t xml:space="preserve">onduct </w:t>
      </w:r>
      <w:r w:rsidR="00B4049C" w:rsidRPr="006C5085">
        <w:rPr>
          <w:rFonts w:eastAsia="SimSun"/>
          <w:b/>
          <w:lang w:eastAsia="zh-CN"/>
        </w:rPr>
        <w:t>thorough risk</w:t>
      </w:r>
      <w:r w:rsidR="00017D99" w:rsidRPr="006C5085">
        <w:rPr>
          <w:rFonts w:eastAsia="SimSun"/>
          <w:b/>
          <w:lang w:eastAsia="zh-CN"/>
        </w:rPr>
        <w:t xml:space="preserve"> assessment</w:t>
      </w:r>
      <w:r w:rsidR="00B4049C" w:rsidRPr="006C5085">
        <w:rPr>
          <w:rFonts w:eastAsia="SimSun"/>
          <w:b/>
          <w:lang w:eastAsia="zh-CN"/>
        </w:rPr>
        <w:t>s</w:t>
      </w:r>
      <w:r w:rsidR="00017D99" w:rsidRPr="006C5085">
        <w:rPr>
          <w:rFonts w:eastAsia="SimSun"/>
          <w:b/>
          <w:lang w:eastAsia="zh-CN"/>
        </w:rPr>
        <w:t xml:space="preserve"> prior to gra</w:t>
      </w:r>
      <w:r w:rsidR="0097583C" w:rsidRPr="006C5085">
        <w:rPr>
          <w:rFonts w:eastAsia="SimSun"/>
          <w:b/>
          <w:lang w:eastAsia="zh-CN"/>
        </w:rPr>
        <w:t>n</w:t>
      </w:r>
      <w:r w:rsidR="00017D99" w:rsidRPr="006C5085">
        <w:rPr>
          <w:rFonts w:eastAsia="SimSun"/>
          <w:b/>
          <w:lang w:eastAsia="zh-CN"/>
        </w:rPr>
        <w:t>ting licences for arms exports</w:t>
      </w:r>
      <w:r w:rsidR="002A219C">
        <w:rPr>
          <w:rFonts w:eastAsia="SimSun"/>
          <w:b/>
          <w:lang w:eastAsia="zh-CN"/>
        </w:rPr>
        <w:t xml:space="preserve"> </w:t>
      </w:r>
      <w:r w:rsidR="00017D99" w:rsidRPr="006C5085">
        <w:rPr>
          <w:rFonts w:eastAsia="SimSun"/>
          <w:b/>
          <w:lang w:eastAsia="zh-CN"/>
        </w:rPr>
        <w:t>and refuse</w:t>
      </w:r>
      <w:r w:rsidR="002A219C">
        <w:rPr>
          <w:rFonts w:eastAsia="SimSun"/>
          <w:b/>
          <w:lang w:eastAsia="zh-CN"/>
        </w:rPr>
        <w:t xml:space="preserve"> or suspend</w:t>
      </w:r>
      <w:r w:rsidR="00017D99" w:rsidRPr="006C5085">
        <w:rPr>
          <w:rFonts w:eastAsia="SimSun"/>
          <w:b/>
          <w:lang w:eastAsia="zh-CN"/>
        </w:rPr>
        <w:t xml:space="preserve"> </w:t>
      </w:r>
      <w:r w:rsidR="000C0863" w:rsidRPr="006C5085">
        <w:rPr>
          <w:rFonts w:eastAsia="SimSun"/>
          <w:b/>
          <w:lang w:eastAsia="zh-CN"/>
        </w:rPr>
        <w:t>such licences</w:t>
      </w:r>
      <w:r w:rsidR="00017D99" w:rsidRPr="006C5085">
        <w:rPr>
          <w:rFonts w:eastAsia="SimSun"/>
          <w:b/>
          <w:lang w:eastAsia="zh-CN"/>
        </w:rPr>
        <w:t xml:space="preserve"> when there is risk that arms could be used to violate human rights, including economic, social and cultural rights</w:t>
      </w:r>
      <w:r w:rsidR="00E43501" w:rsidRPr="006C5085">
        <w:rPr>
          <w:b/>
          <w:bCs/>
        </w:rPr>
        <w:t>.</w:t>
      </w:r>
    </w:p>
    <w:p w14:paraId="5EA417E8" w14:textId="1B844AB4" w:rsidR="00E43501" w:rsidRPr="006C5085" w:rsidRDefault="00E43501" w:rsidP="00F85306">
      <w:pPr>
        <w:pStyle w:val="SingleTxtG"/>
        <w:numPr>
          <w:ilvl w:val="0"/>
          <w:numId w:val="17"/>
        </w:numPr>
        <w:tabs>
          <w:tab w:val="left" w:pos="1701"/>
        </w:tabs>
        <w:ind w:left="1134" w:firstLine="0"/>
        <w:rPr>
          <w:rFonts w:eastAsia="SimSun"/>
          <w:b/>
          <w:lang w:eastAsia="zh-CN"/>
        </w:rPr>
      </w:pPr>
      <w:r w:rsidRPr="006C5085">
        <w:rPr>
          <w:b/>
        </w:rPr>
        <w:t>The</w:t>
      </w:r>
      <w:r w:rsidRPr="006C5085">
        <w:rPr>
          <w:rFonts w:eastAsia="SimSun"/>
          <w:b/>
          <w:lang w:eastAsia="zh-CN"/>
        </w:rPr>
        <w:t xml:space="preserve"> Committee draws the attention of the State party to its statement on the obligations of State parties regarding the corporate sector and economic, social and cultural rights (</w:t>
      </w:r>
      <w:r w:rsidRPr="006C5085">
        <w:rPr>
          <w:b/>
        </w:rPr>
        <w:t>E/2012/22-E/C.12/2011/3, annex VI, section A</w:t>
      </w:r>
      <w:r w:rsidRPr="006C5085">
        <w:rPr>
          <w:rFonts w:eastAsia="SimSun"/>
          <w:b/>
          <w:lang w:eastAsia="zh-CN"/>
        </w:rPr>
        <w:t>).</w:t>
      </w:r>
    </w:p>
    <w:p w14:paraId="2E6C1075" w14:textId="361F21D3" w:rsidR="003D590D" w:rsidRPr="00C135B2" w:rsidRDefault="00F84D8A" w:rsidP="009258A7">
      <w:pPr>
        <w:pStyle w:val="H23G"/>
        <w:ind w:firstLine="0"/>
      </w:pPr>
      <w:r w:rsidRPr="006C5085">
        <w:t xml:space="preserve">International </w:t>
      </w:r>
      <w:r w:rsidR="003D590D" w:rsidRPr="006C5085">
        <w:t>D</w:t>
      </w:r>
      <w:r w:rsidRPr="006C5085">
        <w:t xml:space="preserve">evelopment </w:t>
      </w:r>
      <w:r w:rsidR="008B293B">
        <w:t>cooperation</w:t>
      </w:r>
    </w:p>
    <w:p w14:paraId="2219E8ED" w14:textId="2A33537C" w:rsidR="00415213" w:rsidRPr="006C5085" w:rsidRDefault="00415213" w:rsidP="00351565">
      <w:pPr>
        <w:pStyle w:val="SingleTxtG"/>
        <w:numPr>
          <w:ilvl w:val="0"/>
          <w:numId w:val="17"/>
        </w:numPr>
        <w:tabs>
          <w:tab w:val="left" w:pos="1701"/>
        </w:tabs>
        <w:ind w:left="1134" w:firstLine="0"/>
      </w:pPr>
      <w:r w:rsidRPr="006C5085">
        <w:t xml:space="preserve">While </w:t>
      </w:r>
      <w:r w:rsidR="000C0863" w:rsidRPr="006C5085">
        <w:t>welcoming that</w:t>
      </w:r>
      <w:r w:rsidRPr="006C5085">
        <w:t xml:space="preserve"> the State party has attained the international target of allocating 0.7 per cent of gross national product for </w:t>
      </w:r>
      <w:r w:rsidR="008B293B">
        <w:t>official</w:t>
      </w:r>
      <w:r w:rsidRPr="006C5085">
        <w:t xml:space="preserve"> development assistance in the framework of international cooperation, the Committee is concerned that in some cases the assistance provided has reportedly </w:t>
      </w:r>
      <w:r w:rsidR="00351565" w:rsidRPr="006C5085">
        <w:t xml:space="preserve">been used for activities in contravention </w:t>
      </w:r>
      <w:r w:rsidRPr="006C5085">
        <w:t>of economic, social and cultural rights in the receiving countries</w:t>
      </w:r>
      <w:r w:rsidR="000C0863" w:rsidRPr="006C5085">
        <w:t xml:space="preserve">. The Committee is particularly concerned </w:t>
      </w:r>
      <w:r w:rsidR="00322461" w:rsidRPr="006C5085">
        <w:t xml:space="preserve">about </w:t>
      </w:r>
      <w:r w:rsidR="00556469" w:rsidRPr="006C5085">
        <w:t xml:space="preserve">the </w:t>
      </w:r>
      <w:r w:rsidR="00322461" w:rsidRPr="006C5085">
        <w:t xml:space="preserve">financial </w:t>
      </w:r>
      <w:r w:rsidRPr="006C5085">
        <w:t>support</w:t>
      </w:r>
      <w:r w:rsidR="00322461" w:rsidRPr="006C5085">
        <w:t xml:space="preserve"> provided by the State party</w:t>
      </w:r>
      <w:r w:rsidRPr="006C5085">
        <w:t xml:space="preserve"> to </w:t>
      </w:r>
      <w:r w:rsidR="00556469" w:rsidRPr="006C5085">
        <w:t xml:space="preserve">private actors for </w:t>
      </w:r>
      <w:r w:rsidRPr="006C5085">
        <w:t xml:space="preserve">low-cost </w:t>
      </w:r>
      <w:r w:rsidR="00322461" w:rsidRPr="006C5085">
        <w:t xml:space="preserve">and private </w:t>
      </w:r>
      <w:r w:rsidR="00556469" w:rsidRPr="006C5085">
        <w:t xml:space="preserve">education projects </w:t>
      </w:r>
      <w:r w:rsidRPr="006C5085">
        <w:t>in developing countries</w:t>
      </w:r>
      <w:r w:rsidR="00556469" w:rsidRPr="006C5085">
        <w:t xml:space="preserve">, which </w:t>
      </w:r>
      <w:r w:rsidR="000C0863" w:rsidRPr="006C5085">
        <w:t xml:space="preserve">may have </w:t>
      </w:r>
      <w:r w:rsidR="00073061">
        <w:t xml:space="preserve">contributed to </w:t>
      </w:r>
      <w:r w:rsidR="000C0863" w:rsidRPr="006C5085">
        <w:t xml:space="preserve">undermine the quality of </w:t>
      </w:r>
      <w:r w:rsidR="00351565" w:rsidRPr="006C5085">
        <w:t xml:space="preserve">free public </w:t>
      </w:r>
      <w:r w:rsidR="000C0863" w:rsidRPr="006C5085">
        <w:t>education and created</w:t>
      </w:r>
      <w:r w:rsidR="002E1AC4" w:rsidRPr="006C5085">
        <w:t xml:space="preserve"> segregation and discrimination</w:t>
      </w:r>
      <w:r w:rsidR="000C0863" w:rsidRPr="006C5085">
        <w:t xml:space="preserve"> among </w:t>
      </w:r>
      <w:r w:rsidR="00351565" w:rsidRPr="006C5085">
        <w:t xml:space="preserve">pupils and </w:t>
      </w:r>
      <w:r w:rsidR="000C0863" w:rsidRPr="006C5085">
        <w:t>students</w:t>
      </w:r>
      <w:r w:rsidRPr="006C5085">
        <w:t xml:space="preserve"> (arts. 2, 13 and 14).</w:t>
      </w:r>
    </w:p>
    <w:p w14:paraId="570997D9" w14:textId="122DC666" w:rsidR="00415213" w:rsidRPr="006C5085" w:rsidRDefault="00415213" w:rsidP="00E06E91">
      <w:pPr>
        <w:pStyle w:val="SingleTxtG"/>
        <w:numPr>
          <w:ilvl w:val="0"/>
          <w:numId w:val="17"/>
        </w:numPr>
        <w:tabs>
          <w:tab w:val="left" w:pos="1701"/>
        </w:tabs>
        <w:ind w:left="1134" w:firstLine="0"/>
        <w:rPr>
          <w:b/>
        </w:rPr>
      </w:pPr>
      <w:r w:rsidRPr="006C5085">
        <w:rPr>
          <w:b/>
        </w:rPr>
        <w:t xml:space="preserve">The Committee calls upon the State party to adopt a human rights-based approach </w:t>
      </w:r>
      <w:r w:rsidR="00073061">
        <w:rPr>
          <w:b/>
        </w:rPr>
        <w:t xml:space="preserve">in </w:t>
      </w:r>
      <w:r w:rsidRPr="006C5085">
        <w:rPr>
          <w:b/>
        </w:rPr>
        <w:t>its international</w:t>
      </w:r>
      <w:r w:rsidR="00073061">
        <w:rPr>
          <w:b/>
        </w:rPr>
        <w:t xml:space="preserve"> development</w:t>
      </w:r>
      <w:r w:rsidRPr="006C5085">
        <w:rPr>
          <w:b/>
        </w:rPr>
        <w:t xml:space="preserve"> </w:t>
      </w:r>
      <w:r w:rsidR="008B293B">
        <w:rPr>
          <w:b/>
        </w:rPr>
        <w:t>coope</w:t>
      </w:r>
      <w:r w:rsidR="002A219C">
        <w:rPr>
          <w:b/>
        </w:rPr>
        <w:t>r</w:t>
      </w:r>
      <w:r w:rsidR="008B293B">
        <w:rPr>
          <w:b/>
        </w:rPr>
        <w:t>ation</w:t>
      </w:r>
      <w:r w:rsidRPr="006C5085">
        <w:rPr>
          <w:b/>
        </w:rPr>
        <w:t>, by:</w:t>
      </w:r>
    </w:p>
    <w:p w14:paraId="2613522D" w14:textId="01210403" w:rsidR="00415213" w:rsidRPr="006C5085" w:rsidRDefault="00415213" w:rsidP="00415213">
      <w:pPr>
        <w:pStyle w:val="SingleTxtG"/>
        <w:ind w:firstLine="567"/>
        <w:rPr>
          <w:b/>
          <w:bCs/>
        </w:rPr>
      </w:pPr>
      <w:r w:rsidRPr="006C5085">
        <w:rPr>
          <w:b/>
          <w:bCs/>
        </w:rPr>
        <w:t>(a)</w:t>
      </w:r>
      <w:r w:rsidRPr="006C5085">
        <w:rPr>
          <w:b/>
          <w:bCs/>
        </w:rPr>
        <w:tab/>
        <w:t xml:space="preserve">Undertaking a systematic and independent human rights impact assessment prior to </w:t>
      </w:r>
      <w:r w:rsidR="00073061">
        <w:rPr>
          <w:b/>
          <w:bCs/>
        </w:rPr>
        <w:t>decision-</w:t>
      </w:r>
      <w:r w:rsidRPr="006C5085">
        <w:rPr>
          <w:b/>
          <w:bCs/>
        </w:rPr>
        <w:t xml:space="preserve">making </w:t>
      </w:r>
      <w:r w:rsidR="00073061">
        <w:rPr>
          <w:b/>
          <w:bCs/>
        </w:rPr>
        <w:t xml:space="preserve">on development </w:t>
      </w:r>
      <w:r w:rsidR="008B293B">
        <w:rPr>
          <w:b/>
          <w:bCs/>
        </w:rPr>
        <w:t xml:space="preserve">cooperation </w:t>
      </w:r>
      <w:r w:rsidR="00073061">
        <w:rPr>
          <w:b/>
          <w:bCs/>
        </w:rPr>
        <w:t>projects</w:t>
      </w:r>
      <w:r w:rsidRPr="006C5085">
        <w:rPr>
          <w:b/>
          <w:bCs/>
        </w:rPr>
        <w:t>;</w:t>
      </w:r>
    </w:p>
    <w:p w14:paraId="4E4442DE" w14:textId="6AA3891B" w:rsidR="00415213" w:rsidRPr="006C5085" w:rsidRDefault="00415213" w:rsidP="00415213">
      <w:pPr>
        <w:pStyle w:val="SingleTxtG"/>
        <w:ind w:firstLine="567"/>
        <w:rPr>
          <w:b/>
          <w:bCs/>
        </w:rPr>
      </w:pPr>
      <w:r w:rsidRPr="006C5085">
        <w:rPr>
          <w:b/>
          <w:bCs/>
        </w:rPr>
        <w:t>(b)</w:t>
      </w:r>
      <w:r w:rsidRPr="006C5085">
        <w:rPr>
          <w:b/>
          <w:bCs/>
        </w:rPr>
        <w:tab/>
        <w:t>Establishing an effective monitoring mechanism to regularly assess the human rights impact of its policies and projects in the receiving countries and to take remedial measures when required;</w:t>
      </w:r>
    </w:p>
    <w:p w14:paraId="2BC6132B" w14:textId="1ECFBC7C" w:rsidR="00415213" w:rsidRPr="006C5085" w:rsidRDefault="00415213" w:rsidP="00415213">
      <w:pPr>
        <w:pStyle w:val="SingleTxtG"/>
        <w:ind w:firstLine="567"/>
        <w:rPr>
          <w:b/>
          <w:bCs/>
        </w:rPr>
      </w:pPr>
      <w:r w:rsidRPr="006C5085">
        <w:rPr>
          <w:b/>
          <w:bCs/>
        </w:rPr>
        <w:t>(c)</w:t>
      </w:r>
      <w:r w:rsidRPr="006C5085">
        <w:rPr>
          <w:b/>
          <w:bCs/>
        </w:rPr>
        <w:tab/>
        <w:t>Ensuring that there is an accessible complaint mechanism for violations of economic, social and cultural rights in the receiving countries</w:t>
      </w:r>
      <w:r w:rsidR="00F838B5">
        <w:rPr>
          <w:b/>
          <w:bCs/>
        </w:rPr>
        <w:t xml:space="preserve"> committed in the framework of development cooperation projects</w:t>
      </w:r>
      <w:r w:rsidRPr="006C5085">
        <w:rPr>
          <w:b/>
          <w:bCs/>
        </w:rPr>
        <w:t>.</w:t>
      </w:r>
    </w:p>
    <w:p w14:paraId="518CF935" w14:textId="227EA0AA" w:rsidR="003D590D" w:rsidRPr="00F932CA" w:rsidRDefault="003D590D" w:rsidP="00F932CA">
      <w:pPr>
        <w:pStyle w:val="H23G"/>
        <w:ind w:firstLine="0"/>
      </w:pPr>
      <w:r w:rsidRPr="006C5085">
        <w:t>Tax policies</w:t>
      </w:r>
    </w:p>
    <w:p w14:paraId="6801A059" w14:textId="4CF8A3BE" w:rsidR="007939D7" w:rsidRPr="006C5085" w:rsidRDefault="00B4049C" w:rsidP="0041379E">
      <w:pPr>
        <w:pStyle w:val="SingleTxtG"/>
        <w:numPr>
          <w:ilvl w:val="0"/>
          <w:numId w:val="17"/>
        </w:numPr>
        <w:tabs>
          <w:tab w:val="left" w:pos="1701"/>
        </w:tabs>
        <w:ind w:left="1134" w:firstLine="0"/>
        <w:rPr>
          <w:b/>
        </w:rPr>
      </w:pPr>
      <w:r w:rsidRPr="006C5085">
        <w:t>The Committee is concern</w:t>
      </w:r>
      <w:r w:rsidR="001361A2" w:rsidRPr="006C5085">
        <w:t>ed</w:t>
      </w:r>
      <w:r w:rsidRPr="006C5085">
        <w:t xml:space="preserve"> abo</w:t>
      </w:r>
      <w:r w:rsidR="001361A2" w:rsidRPr="006C5085">
        <w:t xml:space="preserve">ut the adverse impact that </w:t>
      </w:r>
      <w:r w:rsidR="007B451C" w:rsidRPr="006C5085">
        <w:t>recent changes</w:t>
      </w:r>
      <w:r w:rsidR="008B2B62" w:rsidRPr="006C5085">
        <w:t xml:space="preserve"> to the </w:t>
      </w:r>
      <w:r w:rsidR="00092595" w:rsidRPr="006C5085">
        <w:t>fiscal</w:t>
      </w:r>
      <w:r w:rsidR="008B2B62" w:rsidRPr="006C5085">
        <w:t xml:space="preserve"> </w:t>
      </w:r>
      <w:r w:rsidR="0070799D" w:rsidRPr="006C5085">
        <w:t>policy</w:t>
      </w:r>
      <w:r w:rsidR="008B2B62" w:rsidRPr="006C5085">
        <w:t xml:space="preserve"> in the State party, such as </w:t>
      </w:r>
      <w:r w:rsidR="007B451C" w:rsidRPr="006C5085">
        <w:t>the</w:t>
      </w:r>
      <w:r w:rsidR="008B2B62" w:rsidRPr="006C5085">
        <w:t xml:space="preserve"> increase to the</w:t>
      </w:r>
      <w:r w:rsidR="007B451C" w:rsidRPr="006C5085">
        <w:t xml:space="preserve"> inheritance</w:t>
      </w:r>
      <w:r w:rsidR="001361A2" w:rsidRPr="006C5085">
        <w:t xml:space="preserve"> tax</w:t>
      </w:r>
      <w:r w:rsidR="000C0863" w:rsidRPr="006C5085">
        <w:t xml:space="preserve"> limit and to</w:t>
      </w:r>
      <w:r w:rsidR="0070799D" w:rsidRPr="006C5085">
        <w:t xml:space="preserve"> the Value Added Tax, as well as the </w:t>
      </w:r>
      <w:r w:rsidR="00047DEB">
        <w:t xml:space="preserve">gradual </w:t>
      </w:r>
      <w:r w:rsidR="0070799D" w:rsidRPr="006C5085">
        <w:t>reduction of the</w:t>
      </w:r>
      <w:r w:rsidR="001361A2" w:rsidRPr="006C5085">
        <w:t xml:space="preserve"> tax</w:t>
      </w:r>
      <w:r w:rsidR="00047DEB">
        <w:t xml:space="preserve"> on corporate incomes</w:t>
      </w:r>
      <w:r w:rsidR="0070799D" w:rsidRPr="006C5085">
        <w:t xml:space="preserve">, </w:t>
      </w:r>
      <w:r w:rsidR="00E90FAC">
        <w:t xml:space="preserve">are </w:t>
      </w:r>
      <w:r w:rsidR="000C0863" w:rsidRPr="006C5085">
        <w:t>hav</w:t>
      </w:r>
      <w:r w:rsidR="00E90FAC">
        <w:t>ing</w:t>
      </w:r>
      <w:r w:rsidR="000C0863" w:rsidRPr="006C5085">
        <w:t xml:space="preserve"> </w:t>
      </w:r>
      <w:r w:rsidR="00B31FDF" w:rsidRPr="006C5085">
        <w:t>o</w:t>
      </w:r>
      <w:r w:rsidR="001361A2" w:rsidRPr="006C5085">
        <w:t>n the</w:t>
      </w:r>
      <w:r w:rsidR="00047DEB">
        <w:t xml:space="preserve"> ability of the State party to </w:t>
      </w:r>
      <w:r w:rsidR="005A3B49">
        <w:t xml:space="preserve">address persistent social inequality and to collect sufficient resources to </w:t>
      </w:r>
      <w:r w:rsidR="00047DEB">
        <w:t>achieve the full</w:t>
      </w:r>
      <w:r w:rsidR="001361A2" w:rsidRPr="006C5085">
        <w:t xml:space="preserve"> realization of economic, social and cultural rights</w:t>
      </w:r>
      <w:r w:rsidR="005A3B49">
        <w:t xml:space="preserve"> for the benefit </w:t>
      </w:r>
      <w:r w:rsidR="00CF30B7">
        <w:t>of disadvantaged and marginalized individuals and groups</w:t>
      </w:r>
      <w:r w:rsidR="001361A2" w:rsidRPr="006C5085">
        <w:t>.</w:t>
      </w:r>
      <w:r w:rsidR="007B451C" w:rsidRPr="006C5085">
        <w:t xml:space="preserve"> While </w:t>
      </w:r>
      <w:r w:rsidR="00B31FDF" w:rsidRPr="006C5085">
        <w:t xml:space="preserve">noting </w:t>
      </w:r>
      <w:r w:rsidR="007B451C" w:rsidRPr="006C5085">
        <w:t xml:space="preserve">the </w:t>
      </w:r>
      <w:r w:rsidR="002E1AC4" w:rsidRPr="006C5085">
        <w:t>efforts</w:t>
      </w:r>
      <w:r w:rsidR="007B451C" w:rsidRPr="006C5085">
        <w:t xml:space="preserve"> </w:t>
      </w:r>
      <w:r w:rsidR="007939D7" w:rsidRPr="006C5085">
        <w:t xml:space="preserve">that </w:t>
      </w:r>
      <w:r w:rsidR="002E1AC4" w:rsidRPr="006C5085">
        <w:t>the State party</w:t>
      </w:r>
      <w:r w:rsidR="00B31FDF" w:rsidRPr="006C5085">
        <w:t xml:space="preserve"> and </w:t>
      </w:r>
      <w:r w:rsidR="00932CCA" w:rsidRPr="006C5085">
        <w:t xml:space="preserve">notably </w:t>
      </w:r>
      <w:r w:rsidR="00B31FDF" w:rsidRPr="006C5085">
        <w:t>its Overseas Territories and Crown Dependencies are undertaking</w:t>
      </w:r>
      <w:r w:rsidR="002E1AC4" w:rsidRPr="006C5085">
        <w:t xml:space="preserve"> to </w:t>
      </w:r>
      <w:r w:rsidR="0070799D" w:rsidRPr="006C5085">
        <w:t>tackle tax avoidance</w:t>
      </w:r>
      <w:r w:rsidR="00EB2C89" w:rsidRPr="006C5085">
        <w:t xml:space="preserve"> and </w:t>
      </w:r>
      <w:r w:rsidR="007B451C" w:rsidRPr="006C5085">
        <w:t xml:space="preserve">cross-border tax </w:t>
      </w:r>
      <w:r w:rsidR="00EB2C89" w:rsidRPr="006C5085">
        <w:t>abuse</w:t>
      </w:r>
      <w:r w:rsidR="002E1AC4" w:rsidRPr="006C5085">
        <w:t xml:space="preserve">, </w:t>
      </w:r>
      <w:r w:rsidR="00B31FDF" w:rsidRPr="006C5085">
        <w:t xml:space="preserve">the Committee is concerned that financial secrecy legislations and permissive rules on corporate tax are </w:t>
      </w:r>
      <w:r w:rsidR="00B31FDF" w:rsidRPr="006C5085">
        <w:lastRenderedPageBreak/>
        <w:t xml:space="preserve">affecting the ability of </w:t>
      </w:r>
      <w:r w:rsidR="0070799D" w:rsidRPr="006C5085">
        <w:t xml:space="preserve">the State party, as well </w:t>
      </w:r>
      <w:r w:rsidR="00B31FDF" w:rsidRPr="006C5085">
        <w:t xml:space="preserve">other States to meet their obligation to mobilize </w:t>
      </w:r>
      <w:r w:rsidR="0070799D" w:rsidRPr="006C5085">
        <w:t>the</w:t>
      </w:r>
      <w:r w:rsidR="00B31FDF" w:rsidRPr="006C5085">
        <w:t xml:space="preserve"> maximum available resources for the implementation of economic, social </w:t>
      </w:r>
      <w:r w:rsidR="009F700D" w:rsidRPr="006C5085">
        <w:t>and cultural rights</w:t>
      </w:r>
      <w:r w:rsidR="007939D7" w:rsidRPr="006C5085">
        <w:t xml:space="preserve"> (</w:t>
      </w:r>
      <w:r w:rsidR="00DA7839">
        <w:t>a</w:t>
      </w:r>
      <w:r w:rsidR="00326C95">
        <w:t>rt.</w:t>
      </w:r>
      <w:r w:rsidR="007939D7" w:rsidRPr="006C5085">
        <w:t xml:space="preserve"> 2, para 1)</w:t>
      </w:r>
      <w:r w:rsidR="009F700D" w:rsidRPr="006C5085">
        <w:t>.</w:t>
      </w:r>
    </w:p>
    <w:p w14:paraId="45EBC295" w14:textId="79AE9DCA" w:rsidR="00824CB2" w:rsidRPr="006C5085" w:rsidRDefault="008B2B62" w:rsidP="002E1AC4">
      <w:pPr>
        <w:pStyle w:val="SingleTxtG"/>
        <w:numPr>
          <w:ilvl w:val="0"/>
          <w:numId w:val="17"/>
        </w:numPr>
        <w:tabs>
          <w:tab w:val="left" w:pos="1701"/>
        </w:tabs>
        <w:ind w:left="1134" w:firstLine="0"/>
        <w:rPr>
          <w:b/>
        </w:rPr>
      </w:pPr>
      <w:r w:rsidRPr="006C5085">
        <w:rPr>
          <w:b/>
        </w:rPr>
        <w:t>The Committee recommends that the State party:</w:t>
      </w:r>
    </w:p>
    <w:p w14:paraId="2FBFFF04" w14:textId="4AB05C3C" w:rsidR="00092595" w:rsidRPr="006C5085" w:rsidRDefault="001570C1" w:rsidP="00F932CA">
      <w:pPr>
        <w:pStyle w:val="SingleTxtG"/>
        <w:numPr>
          <w:ilvl w:val="0"/>
          <w:numId w:val="24"/>
        </w:numPr>
        <w:tabs>
          <w:tab w:val="left" w:pos="1701"/>
        </w:tabs>
        <w:ind w:left="1134" w:firstLine="567"/>
        <w:rPr>
          <w:b/>
          <w:bCs/>
        </w:rPr>
      </w:pPr>
      <w:r w:rsidRPr="006C5085">
        <w:rPr>
          <w:b/>
          <w:bCs/>
        </w:rPr>
        <w:t>Conduct</w:t>
      </w:r>
      <w:r w:rsidR="00092595" w:rsidRPr="006C5085">
        <w:rPr>
          <w:b/>
          <w:bCs/>
        </w:rPr>
        <w:t xml:space="preserve"> a human rights impact assessment</w:t>
      </w:r>
      <w:r w:rsidR="00616193" w:rsidRPr="006C5085">
        <w:rPr>
          <w:b/>
          <w:bCs/>
        </w:rPr>
        <w:t>,</w:t>
      </w:r>
      <w:r w:rsidR="00092595" w:rsidRPr="006C5085">
        <w:rPr>
          <w:b/>
          <w:bCs/>
        </w:rPr>
        <w:t xml:space="preserve"> </w:t>
      </w:r>
      <w:r w:rsidR="00616193" w:rsidRPr="006C5085">
        <w:rPr>
          <w:b/>
          <w:bCs/>
        </w:rPr>
        <w:t xml:space="preserve">with broad public participation, </w:t>
      </w:r>
      <w:r w:rsidR="00092595" w:rsidRPr="006C5085">
        <w:rPr>
          <w:b/>
          <w:bCs/>
        </w:rPr>
        <w:t xml:space="preserve">of the recent changes introduced to its fiscal policy, </w:t>
      </w:r>
      <w:r w:rsidR="00B507C6" w:rsidRPr="006C5085">
        <w:rPr>
          <w:b/>
          <w:bCs/>
        </w:rPr>
        <w:t>including</w:t>
      </w:r>
      <w:r w:rsidR="00616193" w:rsidRPr="006C5085">
        <w:rPr>
          <w:b/>
          <w:bCs/>
        </w:rPr>
        <w:t xml:space="preserve"> </w:t>
      </w:r>
      <w:r w:rsidR="00092595" w:rsidRPr="006C5085">
        <w:rPr>
          <w:b/>
        </w:rPr>
        <w:t>analysis</w:t>
      </w:r>
      <w:r w:rsidR="00092595" w:rsidRPr="006C5085">
        <w:rPr>
          <w:b/>
          <w:bCs/>
        </w:rPr>
        <w:t xml:space="preserve"> of the distributional consequences and </w:t>
      </w:r>
      <w:r w:rsidR="00B507C6" w:rsidRPr="006C5085">
        <w:rPr>
          <w:b/>
          <w:bCs/>
        </w:rPr>
        <w:t xml:space="preserve">the </w:t>
      </w:r>
      <w:r w:rsidR="00092595" w:rsidRPr="006C5085">
        <w:rPr>
          <w:b/>
          <w:bCs/>
        </w:rPr>
        <w:t xml:space="preserve">tax burden </w:t>
      </w:r>
      <w:r w:rsidR="00616193" w:rsidRPr="006C5085">
        <w:rPr>
          <w:b/>
          <w:bCs/>
        </w:rPr>
        <w:t>of</w:t>
      </w:r>
      <w:r w:rsidR="00092595" w:rsidRPr="006C5085">
        <w:rPr>
          <w:b/>
          <w:bCs/>
        </w:rPr>
        <w:t xml:space="preserve"> different income sectors and marginalized and disadvantaged groups</w:t>
      </w:r>
      <w:r w:rsidR="00616193" w:rsidRPr="006C5085">
        <w:rPr>
          <w:b/>
          <w:bCs/>
        </w:rPr>
        <w:t>;</w:t>
      </w:r>
    </w:p>
    <w:p w14:paraId="6D5346E9" w14:textId="3AE8528F" w:rsidR="00092595" w:rsidRPr="006C5085" w:rsidRDefault="00092595" w:rsidP="00F932CA">
      <w:pPr>
        <w:pStyle w:val="SingleTxtG"/>
        <w:numPr>
          <w:ilvl w:val="0"/>
          <w:numId w:val="24"/>
        </w:numPr>
        <w:tabs>
          <w:tab w:val="left" w:pos="1701"/>
        </w:tabs>
        <w:ind w:left="1134" w:firstLine="567"/>
        <w:rPr>
          <w:b/>
          <w:bCs/>
        </w:rPr>
      </w:pPr>
      <w:r w:rsidRPr="006C5085">
        <w:rPr>
          <w:b/>
          <w:bCs/>
        </w:rPr>
        <w:t xml:space="preserve">Ensures that its fiscal policy </w:t>
      </w:r>
      <w:r w:rsidR="00734BB7" w:rsidRPr="006C5085">
        <w:rPr>
          <w:b/>
          <w:bCs/>
        </w:rPr>
        <w:t xml:space="preserve">is adequate, progressive and socially equitable and improves tax collection so as to </w:t>
      </w:r>
      <w:r w:rsidR="00047DEB">
        <w:rPr>
          <w:b/>
          <w:bCs/>
        </w:rPr>
        <w:t xml:space="preserve">increase </w:t>
      </w:r>
      <w:r w:rsidR="00734BB7" w:rsidRPr="006C5085">
        <w:rPr>
          <w:b/>
          <w:bCs/>
        </w:rPr>
        <w:t xml:space="preserve">resources </w:t>
      </w:r>
      <w:r w:rsidR="00AA6374">
        <w:rPr>
          <w:b/>
          <w:bCs/>
        </w:rPr>
        <w:t xml:space="preserve">available </w:t>
      </w:r>
      <w:r w:rsidR="00734BB7" w:rsidRPr="006C5085">
        <w:rPr>
          <w:b/>
          <w:bCs/>
        </w:rPr>
        <w:t>for implementin</w:t>
      </w:r>
      <w:r w:rsidRPr="006C5085">
        <w:rPr>
          <w:b/>
          <w:bCs/>
        </w:rPr>
        <w:t>g economic, social and cultural</w:t>
      </w:r>
      <w:r w:rsidR="006F2397" w:rsidRPr="006C5085">
        <w:rPr>
          <w:b/>
          <w:bCs/>
        </w:rPr>
        <w:t xml:space="preserve"> rights</w:t>
      </w:r>
      <w:r w:rsidRPr="006C5085">
        <w:rPr>
          <w:b/>
          <w:bCs/>
        </w:rPr>
        <w:t>;</w:t>
      </w:r>
    </w:p>
    <w:p w14:paraId="5C3FF516" w14:textId="3B922637" w:rsidR="00092595" w:rsidRPr="006C5085" w:rsidRDefault="00734BB7" w:rsidP="00F932CA">
      <w:pPr>
        <w:pStyle w:val="SingleTxtG"/>
        <w:numPr>
          <w:ilvl w:val="0"/>
          <w:numId w:val="24"/>
        </w:numPr>
        <w:tabs>
          <w:tab w:val="left" w:pos="1701"/>
        </w:tabs>
        <w:ind w:left="1134" w:firstLine="567"/>
        <w:rPr>
          <w:b/>
        </w:rPr>
      </w:pPr>
      <w:r w:rsidRPr="006C5085">
        <w:rPr>
          <w:b/>
          <w:bCs/>
        </w:rPr>
        <w:t>Take strict measures to tackle tax abuse, in particular by corporations and high</w:t>
      </w:r>
      <w:r w:rsidR="00CF30B7">
        <w:rPr>
          <w:b/>
          <w:bCs/>
        </w:rPr>
        <w:t>-</w:t>
      </w:r>
      <w:r w:rsidRPr="006C5085">
        <w:rPr>
          <w:b/>
          <w:bCs/>
        </w:rPr>
        <w:t>net-worth individuals</w:t>
      </w:r>
      <w:r w:rsidR="00092595" w:rsidRPr="006C5085">
        <w:rPr>
          <w:b/>
          <w:bCs/>
        </w:rPr>
        <w:t>; and</w:t>
      </w:r>
    </w:p>
    <w:p w14:paraId="7AA8B0A7" w14:textId="6B00A885" w:rsidR="00734BB7" w:rsidRPr="006C5085" w:rsidRDefault="00616193" w:rsidP="00F932CA">
      <w:pPr>
        <w:pStyle w:val="SingleTxtG"/>
        <w:numPr>
          <w:ilvl w:val="0"/>
          <w:numId w:val="24"/>
        </w:numPr>
        <w:tabs>
          <w:tab w:val="left" w:pos="1701"/>
        </w:tabs>
        <w:ind w:left="1134" w:firstLine="567"/>
        <w:rPr>
          <w:b/>
        </w:rPr>
      </w:pPr>
      <w:r w:rsidRPr="006C5085">
        <w:rPr>
          <w:b/>
          <w:bCs/>
        </w:rPr>
        <w:t>Intensify</w:t>
      </w:r>
      <w:r w:rsidR="00092595" w:rsidRPr="006C5085">
        <w:rPr>
          <w:b/>
          <w:bCs/>
        </w:rPr>
        <w:t xml:space="preserve"> its efforts</w:t>
      </w:r>
      <w:r w:rsidRPr="006C5085">
        <w:rPr>
          <w:b/>
          <w:bCs/>
        </w:rPr>
        <w:t>,</w:t>
      </w:r>
      <w:r w:rsidR="00092595" w:rsidRPr="006C5085">
        <w:rPr>
          <w:b/>
          <w:bCs/>
        </w:rPr>
        <w:t xml:space="preserve"> in coordination with its Overseas Territories and Crown Dependencies</w:t>
      </w:r>
      <w:r w:rsidRPr="006C5085">
        <w:rPr>
          <w:b/>
          <w:bCs/>
        </w:rPr>
        <w:t>,</w:t>
      </w:r>
      <w:r w:rsidR="00092595" w:rsidRPr="006C5085">
        <w:rPr>
          <w:b/>
          <w:bCs/>
        </w:rPr>
        <w:t xml:space="preserve"> to </w:t>
      </w:r>
      <w:r w:rsidR="00047DEB">
        <w:rPr>
          <w:b/>
          <w:bCs/>
        </w:rPr>
        <w:t>address</w:t>
      </w:r>
      <w:r w:rsidR="00047DEB" w:rsidRPr="006C5085">
        <w:rPr>
          <w:b/>
          <w:bCs/>
        </w:rPr>
        <w:t xml:space="preserve"> </w:t>
      </w:r>
      <w:r w:rsidR="00092595" w:rsidRPr="006C5085">
        <w:rPr>
          <w:b/>
          <w:bCs/>
        </w:rPr>
        <w:t>global tax abuse</w:t>
      </w:r>
      <w:r w:rsidR="00F932CA">
        <w:rPr>
          <w:b/>
        </w:rPr>
        <w:t>.</w:t>
      </w:r>
    </w:p>
    <w:p w14:paraId="29A8ABAD" w14:textId="7DB3FB4E" w:rsidR="00E43501" w:rsidRPr="00F932CA" w:rsidRDefault="00FD5016" w:rsidP="00F932CA">
      <w:pPr>
        <w:pStyle w:val="H23G"/>
        <w:ind w:firstLine="0"/>
      </w:pPr>
      <w:r w:rsidRPr="006C5085">
        <w:t>Austerity measures</w:t>
      </w:r>
    </w:p>
    <w:p w14:paraId="5020F662" w14:textId="59D26BA4" w:rsidR="00FD5016" w:rsidRPr="006C5085" w:rsidRDefault="005B2C21" w:rsidP="003665FC">
      <w:pPr>
        <w:pStyle w:val="SingleTxtG"/>
        <w:numPr>
          <w:ilvl w:val="0"/>
          <w:numId w:val="17"/>
        </w:numPr>
        <w:tabs>
          <w:tab w:val="left" w:pos="1701"/>
        </w:tabs>
        <w:ind w:left="1134" w:firstLine="0"/>
      </w:pPr>
      <w:r w:rsidRPr="006C5085">
        <w:t>The Committee is seriously concerned about the</w:t>
      </w:r>
      <w:r w:rsidR="001F2BE4" w:rsidRPr="006C5085">
        <w:t xml:space="preserve"> disproportionate</w:t>
      </w:r>
      <w:r w:rsidR="00BB090B" w:rsidRPr="006C5085">
        <w:t xml:space="preserve"> adverse</w:t>
      </w:r>
      <w:r w:rsidR="001F2BE4" w:rsidRPr="006C5085">
        <w:t xml:space="preserve"> impact that austerity measures</w:t>
      </w:r>
      <w:r w:rsidR="00B507C6" w:rsidRPr="006C5085">
        <w:t>,</w:t>
      </w:r>
      <w:r w:rsidR="001F2BE4" w:rsidRPr="006C5085">
        <w:t xml:space="preserve"> introduced </w:t>
      </w:r>
      <w:r w:rsidR="00B507C6" w:rsidRPr="006C5085">
        <w:t>since 2010,</w:t>
      </w:r>
      <w:r w:rsidR="001F2BE4" w:rsidRPr="006C5085">
        <w:t xml:space="preserve"> are having </w:t>
      </w:r>
      <w:r w:rsidR="00351565" w:rsidRPr="006C5085">
        <w:t>o</w:t>
      </w:r>
      <w:r w:rsidR="001F2BE4" w:rsidRPr="006C5085">
        <w:t>n the enjoyment of economic, social and cultural rights</w:t>
      </w:r>
      <w:r w:rsidR="00BB090B" w:rsidRPr="006C5085">
        <w:t xml:space="preserve"> </w:t>
      </w:r>
      <w:r w:rsidR="00E90FAC">
        <w:t>by</w:t>
      </w:r>
      <w:r w:rsidR="00E90FAC" w:rsidRPr="006C5085">
        <w:t xml:space="preserve"> </w:t>
      </w:r>
      <w:r w:rsidR="001F2BE4" w:rsidRPr="006C5085">
        <w:t>disadvantaged and marginalized individuals and groups. The Committee is concerned that</w:t>
      </w:r>
      <w:r w:rsidR="00AA6374">
        <w:t xml:space="preserve"> </w:t>
      </w:r>
      <w:r w:rsidR="001F2BE4" w:rsidRPr="006C5085">
        <w:t xml:space="preserve">the State party has not undertaken </w:t>
      </w:r>
      <w:r w:rsidR="006F2397" w:rsidRPr="006C5085">
        <w:t xml:space="preserve">a </w:t>
      </w:r>
      <w:r w:rsidR="001F2BE4" w:rsidRPr="006C5085">
        <w:t xml:space="preserve">comprehensive </w:t>
      </w:r>
      <w:r w:rsidR="00B507C6" w:rsidRPr="006C5085">
        <w:t xml:space="preserve">assessment of the </w:t>
      </w:r>
      <w:r w:rsidR="001F2BE4" w:rsidRPr="006C5085">
        <w:t xml:space="preserve">cumulative </w:t>
      </w:r>
      <w:r w:rsidR="00B507C6" w:rsidRPr="006C5085">
        <w:t xml:space="preserve">impact of such measures </w:t>
      </w:r>
      <w:r w:rsidR="00AA6374">
        <w:t>on</w:t>
      </w:r>
      <w:r w:rsidR="00736903">
        <w:t xml:space="preserve"> the</w:t>
      </w:r>
      <w:r w:rsidR="001F2BE4" w:rsidRPr="006C5085">
        <w:t xml:space="preserve"> realization of economic, social and cultural rights</w:t>
      </w:r>
      <w:r w:rsidR="00AA6374">
        <w:t>, in a way that is recognized by civil society and national independent monitoring mechanisms</w:t>
      </w:r>
      <w:r w:rsidR="001F2BE4" w:rsidRPr="006C5085">
        <w:t xml:space="preserve"> (</w:t>
      </w:r>
      <w:r w:rsidR="00C51E82">
        <w:t>a</w:t>
      </w:r>
      <w:r w:rsidR="001F2BE4" w:rsidRPr="006C5085">
        <w:t>rt. 2, para. 1).</w:t>
      </w:r>
    </w:p>
    <w:p w14:paraId="164DB192" w14:textId="1E8E0182" w:rsidR="00087BF3" w:rsidRPr="00AA6374" w:rsidRDefault="00087BF3" w:rsidP="00AA6374">
      <w:pPr>
        <w:pStyle w:val="SingleTxtG"/>
        <w:numPr>
          <w:ilvl w:val="0"/>
          <w:numId w:val="17"/>
        </w:numPr>
        <w:tabs>
          <w:tab w:val="left" w:pos="1701"/>
        </w:tabs>
        <w:ind w:left="1134" w:firstLine="0"/>
        <w:rPr>
          <w:rFonts w:cs="Angsana New"/>
          <w:b/>
        </w:rPr>
      </w:pPr>
      <w:r w:rsidRPr="00AA6374">
        <w:rPr>
          <w:b/>
        </w:rPr>
        <w:t>The Committee reminds the State party of its obligation</w:t>
      </w:r>
      <w:r w:rsidR="00CF30B7">
        <w:rPr>
          <w:b/>
        </w:rPr>
        <w:t>s</w:t>
      </w:r>
      <w:r w:rsidRPr="00AA6374">
        <w:rPr>
          <w:b/>
        </w:rPr>
        <w:t xml:space="preserve"> under the Covenant to </w:t>
      </w:r>
      <w:r w:rsidR="00AA6374" w:rsidRPr="006D05B7">
        <w:rPr>
          <w:b/>
        </w:rPr>
        <w:t xml:space="preserve">use the maximum of its available resources, with a view to </w:t>
      </w:r>
      <w:r w:rsidR="00073061" w:rsidRPr="005A3B49">
        <w:rPr>
          <w:b/>
        </w:rPr>
        <w:t xml:space="preserve">progressively </w:t>
      </w:r>
      <w:r w:rsidR="00AA6374" w:rsidRPr="001A5501">
        <w:rPr>
          <w:b/>
        </w:rPr>
        <w:t xml:space="preserve">achieving the full realization of </w:t>
      </w:r>
      <w:r w:rsidRPr="00A20656">
        <w:rPr>
          <w:b/>
        </w:rPr>
        <w:t xml:space="preserve">economic, social and cultural rights. </w:t>
      </w:r>
      <w:r w:rsidRPr="00A20656">
        <w:rPr>
          <w:rFonts w:cs="Angsana New"/>
          <w:b/>
        </w:rPr>
        <w:t xml:space="preserve">The Committee draws the State party’s attention to the </w:t>
      </w:r>
      <w:r w:rsidR="00AA6374" w:rsidRPr="00A20656">
        <w:rPr>
          <w:rFonts w:cs="Angsana New"/>
          <w:b/>
        </w:rPr>
        <w:t xml:space="preserve">recommendations contained in </w:t>
      </w:r>
      <w:r w:rsidR="00AA6374">
        <w:rPr>
          <w:rFonts w:cs="Angsana New"/>
          <w:b/>
        </w:rPr>
        <w:t xml:space="preserve">its </w:t>
      </w:r>
      <w:r w:rsidRPr="00AA6374">
        <w:rPr>
          <w:rFonts w:cs="Angsana New"/>
          <w:b/>
        </w:rPr>
        <w:t xml:space="preserve">open letter of 16 May 2012 to States parties on economic, social and cultural rights in the context of the economic and financial crisis, with regard to the </w:t>
      </w:r>
      <w:r w:rsidR="006F2397" w:rsidRPr="00AA6374">
        <w:rPr>
          <w:rFonts w:cs="Angsana New"/>
          <w:b/>
        </w:rPr>
        <w:t xml:space="preserve">criteria </w:t>
      </w:r>
      <w:r w:rsidR="00AA6374">
        <w:rPr>
          <w:rFonts w:cs="Angsana New"/>
          <w:b/>
        </w:rPr>
        <w:t>for</w:t>
      </w:r>
      <w:r w:rsidRPr="00AA6374">
        <w:rPr>
          <w:rFonts w:cs="Angsana New"/>
          <w:b/>
        </w:rPr>
        <w:t xml:space="preserve"> austerity measures. Such measures </w:t>
      </w:r>
      <w:r w:rsidR="00AA6374">
        <w:rPr>
          <w:rFonts w:cs="Angsana New"/>
          <w:b/>
        </w:rPr>
        <w:t>must be</w:t>
      </w:r>
      <w:r w:rsidRPr="00AA6374">
        <w:rPr>
          <w:rFonts w:cs="Angsana New"/>
          <w:b/>
        </w:rPr>
        <w:t xml:space="preserve"> </w:t>
      </w:r>
      <w:r w:rsidRPr="00AA6374">
        <w:rPr>
          <w:b/>
        </w:rPr>
        <w:t>temporary, necessary</w:t>
      </w:r>
      <w:r w:rsidR="00BD40D7">
        <w:rPr>
          <w:b/>
        </w:rPr>
        <w:t>,</w:t>
      </w:r>
      <w:r w:rsidRPr="00AA6374">
        <w:rPr>
          <w:b/>
        </w:rPr>
        <w:t xml:space="preserve"> proportionate, </w:t>
      </w:r>
      <w:r w:rsidR="00CF30B7" w:rsidRPr="00AA6374">
        <w:rPr>
          <w:b/>
        </w:rPr>
        <w:t xml:space="preserve">and </w:t>
      </w:r>
      <w:r w:rsidRPr="00AA6374">
        <w:rPr>
          <w:b/>
        </w:rPr>
        <w:t xml:space="preserve">not discriminatory and </w:t>
      </w:r>
      <w:r w:rsidR="00CF30B7">
        <w:rPr>
          <w:b/>
        </w:rPr>
        <w:t>must</w:t>
      </w:r>
      <w:r w:rsidR="00CF30B7" w:rsidRPr="00AA6374">
        <w:rPr>
          <w:b/>
        </w:rPr>
        <w:t xml:space="preserve"> </w:t>
      </w:r>
      <w:r w:rsidRPr="00AA6374">
        <w:rPr>
          <w:b/>
        </w:rPr>
        <w:t>not disproportionately affect the rights of disadvantaged and marginalized individuals and groups</w:t>
      </w:r>
      <w:r w:rsidR="00AA6374">
        <w:rPr>
          <w:b/>
        </w:rPr>
        <w:t xml:space="preserve"> and respect the core content of rights</w:t>
      </w:r>
      <w:r w:rsidRPr="00AA6374">
        <w:rPr>
          <w:b/>
        </w:rPr>
        <w:t xml:space="preserve">. </w:t>
      </w:r>
      <w:r w:rsidRPr="00AA6374">
        <w:rPr>
          <w:rFonts w:cs="Angsana New"/>
          <w:b/>
        </w:rPr>
        <w:t xml:space="preserve">In that context, </w:t>
      </w:r>
      <w:r w:rsidRPr="00AA6374">
        <w:rPr>
          <w:b/>
        </w:rPr>
        <w:t xml:space="preserve">the Committee recommends that the State party review </w:t>
      </w:r>
      <w:r w:rsidR="00AA6374">
        <w:rPr>
          <w:b/>
        </w:rPr>
        <w:t>its</w:t>
      </w:r>
      <w:r w:rsidR="00AA6374" w:rsidRPr="00AA6374">
        <w:rPr>
          <w:b/>
        </w:rPr>
        <w:t xml:space="preserve"> </w:t>
      </w:r>
      <w:r w:rsidRPr="00AA6374">
        <w:rPr>
          <w:b/>
        </w:rPr>
        <w:t xml:space="preserve">policies and programmes </w:t>
      </w:r>
      <w:r w:rsidR="00B507C6" w:rsidRPr="00AA6374">
        <w:rPr>
          <w:b/>
        </w:rPr>
        <w:t>introduced since 201</w:t>
      </w:r>
      <w:r w:rsidR="006F2397" w:rsidRPr="00AA6374">
        <w:rPr>
          <w:b/>
        </w:rPr>
        <w:t>0</w:t>
      </w:r>
      <w:r w:rsidR="00B507C6" w:rsidRPr="00AA6374">
        <w:rPr>
          <w:b/>
        </w:rPr>
        <w:t xml:space="preserve"> and conduct a comprehensive assessment of the cumulative impact of these measures on the enjoyment of economic, social and cultural rights </w:t>
      </w:r>
      <w:r w:rsidR="00E90FAC">
        <w:rPr>
          <w:b/>
        </w:rPr>
        <w:t>by</w:t>
      </w:r>
      <w:r w:rsidR="00E90FAC" w:rsidRPr="00AA6374">
        <w:rPr>
          <w:b/>
        </w:rPr>
        <w:t xml:space="preserve"> </w:t>
      </w:r>
      <w:r w:rsidR="00B507C6" w:rsidRPr="00AA6374">
        <w:rPr>
          <w:b/>
        </w:rPr>
        <w:t xml:space="preserve">disadvantaged and marginalized individuals and groups, </w:t>
      </w:r>
      <w:r w:rsidR="006F2397" w:rsidRPr="00AA6374">
        <w:rPr>
          <w:b/>
        </w:rPr>
        <w:t xml:space="preserve">in particular </w:t>
      </w:r>
      <w:r w:rsidR="00B507C6" w:rsidRPr="00AA6374">
        <w:rPr>
          <w:b/>
        </w:rPr>
        <w:t>women, children</w:t>
      </w:r>
      <w:r w:rsidR="006F2397" w:rsidRPr="00AA6374">
        <w:rPr>
          <w:b/>
        </w:rPr>
        <w:t xml:space="preserve"> and</w:t>
      </w:r>
      <w:r w:rsidR="00B507C6" w:rsidRPr="00AA6374">
        <w:rPr>
          <w:b/>
        </w:rPr>
        <w:t xml:space="preserve"> persons with disabilities</w:t>
      </w:r>
      <w:r w:rsidR="00E668E9">
        <w:rPr>
          <w:b/>
        </w:rPr>
        <w:t xml:space="preserve"> that is recognized by all stakeholders</w:t>
      </w:r>
      <w:r w:rsidRPr="00AA6374">
        <w:rPr>
          <w:b/>
        </w:rPr>
        <w:t>.</w:t>
      </w:r>
    </w:p>
    <w:p w14:paraId="46CEDCFF" w14:textId="3FB1E9F3" w:rsidR="00AC25AA" w:rsidRPr="00F932CA" w:rsidRDefault="00EA5D13" w:rsidP="00F932CA">
      <w:pPr>
        <w:pStyle w:val="H23G"/>
        <w:ind w:firstLine="0"/>
      </w:pPr>
      <w:r w:rsidRPr="006C5085">
        <w:t>Legal aid</w:t>
      </w:r>
      <w:r w:rsidR="003D590D" w:rsidRPr="006C5085">
        <w:t xml:space="preserve"> </w:t>
      </w:r>
    </w:p>
    <w:p w14:paraId="18A611BD" w14:textId="48DC9392" w:rsidR="00BD2118" w:rsidRPr="006C5085" w:rsidRDefault="00BD2118" w:rsidP="00B64581">
      <w:pPr>
        <w:pStyle w:val="SingleTxtG"/>
        <w:numPr>
          <w:ilvl w:val="0"/>
          <w:numId w:val="17"/>
        </w:numPr>
        <w:tabs>
          <w:tab w:val="left" w:pos="1701"/>
        </w:tabs>
        <w:ind w:left="1134" w:firstLine="0"/>
      </w:pPr>
      <w:r w:rsidRPr="006C5085">
        <w:t>The Committee</w:t>
      </w:r>
      <w:r w:rsidR="00B64581" w:rsidRPr="006C5085">
        <w:t xml:space="preserve"> </w:t>
      </w:r>
      <w:r w:rsidR="00EA5D13" w:rsidRPr="006C5085">
        <w:t>is concerned</w:t>
      </w:r>
      <w:r w:rsidR="00B00D1E" w:rsidRPr="006C5085">
        <w:t xml:space="preserve"> that</w:t>
      </w:r>
      <w:r w:rsidR="00B64581" w:rsidRPr="006C5085">
        <w:t xml:space="preserve"> th</w:t>
      </w:r>
      <w:r w:rsidR="00B00D1E" w:rsidRPr="006C5085">
        <w:t>e reforms to the</w:t>
      </w:r>
      <w:r w:rsidR="00B64581" w:rsidRPr="006C5085">
        <w:t xml:space="preserve"> legal aid</w:t>
      </w:r>
      <w:r w:rsidR="00B00D1E" w:rsidRPr="006C5085">
        <w:t xml:space="preserve"> system</w:t>
      </w:r>
      <w:r w:rsidR="00B64581" w:rsidRPr="006C5085">
        <w:t xml:space="preserve"> </w:t>
      </w:r>
      <w:r w:rsidR="00EA5D13" w:rsidRPr="006C5085">
        <w:t>and</w:t>
      </w:r>
      <w:r w:rsidR="00B64581" w:rsidRPr="006C5085">
        <w:t xml:space="preserve"> the introduction of employment tribunal fees have </w:t>
      </w:r>
      <w:r w:rsidR="00B00D1E" w:rsidRPr="006C5085">
        <w:t xml:space="preserve">restricted </w:t>
      </w:r>
      <w:r w:rsidR="00B64581" w:rsidRPr="006C5085">
        <w:t>access to justice, in areas such as employment, housing, education and social welfare benefits</w:t>
      </w:r>
      <w:r w:rsidR="00DA5788" w:rsidRPr="006C5085">
        <w:t xml:space="preserve"> (</w:t>
      </w:r>
      <w:r w:rsidR="00DA7839">
        <w:t>a</w:t>
      </w:r>
      <w:r w:rsidR="00326C95">
        <w:t>rt.</w:t>
      </w:r>
      <w:r w:rsidR="00DA5788" w:rsidRPr="006C5085">
        <w:t xml:space="preserve"> 2)</w:t>
      </w:r>
      <w:r w:rsidR="00B64581" w:rsidRPr="006C5085">
        <w:t>.</w:t>
      </w:r>
    </w:p>
    <w:p w14:paraId="3DC3C5A9" w14:textId="51161C7C" w:rsidR="00B64581" w:rsidRPr="006C5085" w:rsidRDefault="00B00D1E" w:rsidP="00B00D1E">
      <w:pPr>
        <w:pStyle w:val="SingleTxtG"/>
        <w:numPr>
          <w:ilvl w:val="0"/>
          <w:numId w:val="17"/>
        </w:numPr>
        <w:tabs>
          <w:tab w:val="left" w:pos="1701"/>
        </w:tabs>
        <w:ind w:left="1134" w:firstLine="0"/>
      </w:pPr>
      <w:r w:rsidRPr="006C5085">
        <w:rPr>
          <w:b/>
        </w:rPr>
        <w:t xml:space="preserve">The Committee recommends that the State party review the impact of the reforms to the legal aid system </w:t>
      </w:r>
      <w:r w:rsidR="00DA5788" w:rsidRPr="006C5085">
        <w:rPr>
          <w:b/>
        </w:rPr>
        <w:t>with a view to ensur</w:t>
      </w:r>
      <w:r w:rsidR="009E3BCA" w:rsidRPr="006C5085">
        <w:rPr>
          <w:b/>
        </w:rPr>
        <w:t xml:space="preserve">ing access to justice and </w:t>
      </w:r>
      <w:r w:rsidR="00DA5788" w:rsidRPr="006C5085">
        <w:rPr>
          <w:b/>
        </w:rPr>
        <w:t xml:space="preserve">the </w:t>
      </w:r>
      <w:r w:rsidRPr="006C5085">
        <w:rPr>
          <w:b/>
        </w:rPr>
        <w:t xml:space="preserve">provision of free legal </w:t>
      </w:r>
      <w:r w:rsidR="00DA5788" w:rsidRPr="006C5085">
        <w:rPr>
          <w:b/>
        </w:rPr>
        <w:t>aid services</w:t>
      </w:r>
      <w:r w:rsidR="009E3BCA" w:rsidRPr="006C5085">
        <w:rPr>
          <w:b/>
        </w:rPr>
        <w:t>, in particular</w:t>
      </w:r>
      <w:r w:rsidR="00DA5788" w:rsidRPr="006C5085">
        <w:rPr>
          <w:b/>
        </w:rPr>
        <w:t xml:space="preserve"> for disadvantaged and marginalized individuals and groups.</w:t>
      </w:r>
      <w:r w:rsidR="00395BD1" w:rsidRPr="006C5085">
        <w:rPr>
          <w:b/>
        </w:rPr>
        <w:t xml:space="preserve"> </w:t>
      </w:r>
      <w:r w:rsidR="00F678A8">
        <w:rPr>
          <w:b/>
        </w:rPr>
        <w:t>The Committee takes note of the information provided by the State party on the on-going review of the employment tribunal fees and recommends the elimination of such fees</w:t>
      </w:r>
      <w:r w:rsidR="00395BD1" w:rsidRPr="006C5085">
        <w:rPr>
          <w:b/>
        </w:rPr>
        <w:t>.</w:t>
      </w:r>
    </w:p>
    <w:p w14:paraId="55F3C012" w14:textId="584F8FB8" w:rsidR="00FD5016" w:rsidRPr="00F932CA" w:rsidRDefault="00D73911" w:rsidP="00F932CA">
      <w:pPr>
        <w:pStyle w:val="H23G"/>
        <w:ind w:firstLine="0"/>
      </w:pPr>
      <w:r w:rsidRPr="006C5085">
        <w:lastRenderedPageBreak/>
        <w:t>Equality Act</w:t>
      </w:r>
    </w:p>
    <w:p w14:paraId="11BF14C8" w14:textId="7F497B67" w:rsidR="003D590D" w:rsidRPr="006C5085" w:rsidRDefault="008B748A" w:rsidP="0002019B">
      <w:pPr>
        <w:pStyle w:val="SingleTxtG"/>
        <w:numPr>
          <w:ilvl w:val="0"/>
          <w:numId w:val="17"/>
        </w:numPr>
        <w:tabs>
          <w:tab w:val="left" w:pos="1701"/>
        </w:tabs>
        <w:ind w:left="1134" w:firstLine="0"/>
        <w:rPr>
          <w:b/>
        </w:rPr>
      </w:pPr>
      <w:r w:rsidRPr="006C5085">
        <w:t xml:space="preserve">While </w:t>
      </w:r>
      <w:r w:rsidR="009C5909" w:rsidRPr="006C5085">
        <w:t>welcoming</w:t>
      </w:r>
      <w:r w:rsidRPr="006C5085">
        <w:t xml:space="preserve"> the adoption of the Equality Act</w:t>
      </w:r>
      <w:r w:rsidR="003C7385" w:rsidRPr="006C5085">
        <w:t xml:space="preserve"> 2010</w:t>
      </w:r>
      <w:r w:rsidRPr="006C5085">
        <w:t xml:space="preserve">, </w:t>
      </w:r>
      <w:r w:rsidR="009C5909" w:rsidRPr="006C5085">
        <w:t>the Committee</w:t>
      </w:r>
      <w:r w:rsidRPr="006C5085">
        <w:t xml:space="preserve"> is concerned that some </w:t>
      </w:r>
      <w:r w:rsidR="00AB371B" w:rsidRPr="006C5085">
        <w:t xml:space="preserve">of its </w:t>
      </w:r>
      <w:r w:rsidRPr="006C5085">
        <w:t>provision</w:t>
      </w:r>
      <w:r w:rsidR="00AB371B" w:rsidRPr="006C5085">
        <w:t>s</w:t>
      </w:r>
      <w:r w:rsidR="009C5909" w:rsidRPr="006C5085">
        <w:t xml:space="preserve">, </w:t>
      </w:r>
      <w:r w:rsidRPr="006C5085">
        <w:t>particularly relevant for enhancing the protection of economic, social and cultural rights without discrimination</w:t>
      </w:r>
      <w:r w:rsidR="009C5909" w:rsidRPr="006C5085">
        <w:t>,</w:t>
      </w:r>
      <w:r w:rsidRPr="006C5085">
        <w:t xml:space="preserve"> are not yet into force, </w:t>
      </w:r>
      <w:r w:rsidR="00AB371B" w:rsidRPr="006C5085">
        <w:t xml:space="preserve">such as </w:t>
      </w:r>
      <w:r w:rsidRPr="006C5085">
        <w:t xml:space="preserve">the duty of public authorities to consider socio-economic disadvantage </w:t>
      </w:r>
      <w:r w:rsidR="00DD4098" w:rsidRPr="006C5085">
        <w:t xml:space="preserve">in decision-making processes </w:t>
      </w:r>
      <w:r w:rsidRPr="006C5085">
        <w:t xml:space="preserve">and the prohibition of </w:t>
      </w:r>
      <w:r w:rsidR="00CF30B7">
        <w:t>intersectional</w:t>
      </w:r>
      <w:r w:rsidR="003D0776" w:rsidRPr="006C5085">
        <w:t xml:space="preserve"> </w:t>
      </w:r>
      <w:r w:rsidRPr="006C5085">
        <w:t xml:space="preserve">discrimination. </w:t>
      </w:r>
      <w:r w:rsidR="00DD4098" w:rsidRPr="006C5085">
        <w:t>T</w:t>
      </w:r>
      <w:r w:rsidR="003C7385" w:rsidRPr="006C5085">
        <w:t>he Committee</w:t>
      </w:r>
      <w:r w:rsidR="00DD4098" w:rsidRPr="006C5085">
        <w:t xml:space="preserve"> also</w:t>
      </w:r>
      <w:r w:rsidR="003C7385" w:rsidRPr="006C5085">
        <w:t xml:space="preserve"> regrets that</w:t>
      </w:r>
      <w:r w:rsidR="00DD4098" w:rsidRPr="006C5085">
        <w:t>,</w:t>
      </w:r>
      <w:r w:rsidR="003C7385" w:rsidRPr="006C5085">
        <w:t xml:space="preserve"> despite its previous recommendation, the Equality Act 2010 is not applicable in Northern Ireland</w:t>
      </w:r>
      <w:r w:rsidR="003D0776" w:rsidRPr="006C5085">
        <w:t xml:space="preserve"> and does not </w:t>
      </w:r>
      <w:r w:rsidR="00BD40D7">
        <w:t xml:space="preserve">explicitly </w:t>
      </w:r>
      <w:r w:rsidR="003D0776" w:rsidRPr="006C5085">
        <w:t xml:space="preserve">include all prohibited grounds of discrimination, such as national or social origin </w:t>
      </w:r>
      <w:r w:rsidR="003C7385" w:rsidRPr="006C5085">
        <w:t>(</w:t>
      </w:r>
      <w:r w:rsidR="00DA7839">
        <w:t>a</w:t>
      </w:r>
      <w:r w:rsidR="003C7385" w:rsidRPr="006C5085">
        <w:t>rt. 2, para</w:t>
      </w:r>
      <w:r w:rsidR="002352BD" w:rsidRPr="006C5085">
        <w:t>.</w:t>
      </w:r>
      <w:r w:rsidR="003C7385" w:rsidRPr="006C5085">
        <w:t xml:space="preserve"> 2).</w:t>
      </w:r>
    </w:p>
    <w:p w14:paraId="6614EEED" w14:textId="5A921C19" w:rsidR="0002019B" w:rsidRPr="006C5085" w:rsidRDefault="00A36609" w:rsidP="0002019B">
      <w:pPr>
        <w:pStyle w:val="SingleTxtG"/>
        <w:numPr>
          <w:ilvl w:val="0"/>
          <w:numId w:val="17"/>
        </w:numPr>
        <w:tabs>
          <w:tab w:val="left" w:pos="1701"/>
        </w:tabs>
        <w:ind w:left="1134" w:firstLine="0"/>
        <w:rPr>
          <w:b/>
        </w:rPr>
      </w:pPr>
      <w:r w:rsidRPr="006C5085">
        <w:rPr>
          <w:b/>
        </w:rPr>
        <w:t>The</w:t>
      </w:r>
      <w:r w:rsidR="003C7385" w:rsidRPr="006C5085">
        <w:rPr>
          <w:b/>
        </w:rPr>
        <w:t xml:space="preserve"> </w:t>
      </w:r>
      <w:r w:rsidR="0002019B" w:rsidRPr="006C5085">
        <w:rPr>
          <w:b/>
        </w:rPr>
        <w:t xml:space="preserve">Committee recommends that the State party </w:t>
      </w:r>
      <w:r w:rsidR="003D0776" w:rsidRPr="006C5085">
        <w:rPr>
          <w:b/>
        </w:rPr>
        <w:t>bring into force</w:t>
      </w:r>
      <w:r w:rsidR="0002019B" w:rsidRPr="006C5085">
        <w:rPr>
          <w:b/>
        </w:rPr>
        <w:t xml:space="preserve"> </w:t>
      </w:r>
      <w:r w:rsidR="003D0776" w:rsidRPr="006C5085">
        <w:rPr>
          <w:b/>
        </w:rPr>
        <w:t>the relevant provisions of the Equality Act that refer to the public authorities</w:t>
      </w:r>
      <w:r w:rsidR="00E90FAC">
        <w:rPr>
          <w:b/>
        </w:rPr>
        <w:t>’</w:t>
      </w:r>
      <w:r w:rsidR="003D0776" w:rsidRPr="006C5085">
        <w:rPr>
          <w:b/>
        </w:rPr>
        <w:t xml:space="preserve"> duty on socio</w:t>
      </w:r>
      <w:r w:rsidR="003C7385" w:rsidRPr="006C5085">
        <w:rPr>
          <w:b/>
        </w:rPr>
        <w:t>-economic d</w:t>
      </w:r>
      <w:r w:rsidR="003D0776" w:rsidRPr="006C5085">
        <w:rPr>
          <w:b/>
        </w:rPr>
        <w:t>isadvantage,</w:t>
      </w:r>
      <w:r w:rsidR="003C7385" w:rsidRPr="006C5085">
        <w:rPr>
          <w:b/>
        </w:rPr>
        <w:t xml:space="preserve"> as well as to the prohibition of </w:t>
      </w:r>
      <w:r w:rsidR="00E90FAC">
        <w:rPr>
          <w:b/>
        </w:rPr>
        <w:t xml:space="preserve">intersectional </w:t>
      </w:r>
      <w:r w:rsidR="003C7385" w:rsidRPr="006C5085">
        <w:rPr>
          <w:b/>
        </w:rPr>
        <w:t xml:space="preserve">discrimination, in order to </w:t>
      </w:r>
      <w:r w:rsidR="000F269E" w:rsidRPr="006C5085">
        <w:rPr>
          <w:b/>
        </w:rPr>
        <w:t>enhance</w:t>
      </w:r>
      <w:r w:rsidR="00C25EEA" w:rsidRPr="006C5085">
        <w:rPr>
          <w:b/>
        </w:rPr>
        <w:t xml:space="preserve"> and guarantee</w:t>
      </w:r>
      <w:r w:rsidR="00A20656">
        <w:rPr>
          <w:b/>
        </w:rPr>
        <w:t xml:space="preserve"> full and</w:t>
      </w:r>
      <w:r w:rsidR="002352BD" w:rsidRPr="006C5085">
        <w:rPr>
          <w:b/>
        </w:rPr>
        <w:t xml:space="preserve"> effective</w:t>
      </w:r>
      <w:r w:rsidR="000F269E" w:rsidRPr="006C5085">
        <w:rPr>
          <w:b/>
        </w:rPr>
        <w:t xml:space="preserve"> protection against discrimination in the enjoyment of economic, social and cultural rights</w:t>
      </w:r>
      <w:r w:rsidR="003C7385" w:rsidRPr="006C5085">
        <w:rPr>
          <w:b/>
        </w:rPr>
        <w:t xml:space="preserve">. </w:t>
      </w:r>
      <w:r w:rsidR="000F269E" w:rsidRPr="006C5085">
        <w:rPr>
          <w:b/>
        </w:rPr>
        <w:t>The Committee re</w:t>
      </w:r>
      <w:r w:rsidR="002352BD" w:rsidRPr="006C5085">
        <w:rPr>
          <w:b/>
        </w:rPr>
        <w:t>calls i</w:t>
      </w:r>
      <w:r w:rsidR="000F269E" w:rsidRPr="006C5085">
        <w:rPr>
          <w:b/>
        </w:rPr>
        <w:t>ts previous recommendation (E/C.12/GBR/CO/5, para</w:t>
      </w:r>
      <w:r w:rsidR="002352BD" w:rsidRPr="006C5085">
        <w:rPr>
          <w:b/>
        </w:rPr>
        <w:t>.</w:t>
      </w:r>
      <w:r w:rsidR="000F269E" w:rsidRPr="006C5085">
        <w:rPr>
          <w:b/>
        </w:rPr>
        <w:t xml:space="preserve"> 16) and </w:t>
      </w:r>
      <w:r w:rsidR="002352BD" w:rsidRPr="006C5085">
        <w:rPr>
          <w:b/>
        </w:rPr>
        <w:t>urges the State party to provide the same access to an independent equality body</w:t>
      </w:r>
      <w:r w:rsidR="00F678A8">
        <w:rPr>
          <w:b/>
        </w:rPr>
        <w:t xml:space="preserve"> and a similar level of protection to rights holders </w:t>
      </w:r>
      <w:r w:rsidR="002352BD" w:rsidRPr="006C5085">
        <w:rPr>
          <w:b/>
        </w:rPr>
        <w:t xml:space="preserve">with regard to all grounds of discrimination for all individuals in all </w:t>
      </w:r>
      <w:r w:rsidR="00DD4098" w:rsidRPr="006C5085">
        <w:rPr>
          <w:b/>
        </w:rPr>
        <w:t>jurisdictions</w:t>
      </w:r>
      <w:r w:rsidR="002352BD" w:rsidRPr="006C5085">
        <w:rPr>
          <w:b/>
        </w:rPr>
        <w:t xml:space="preserve"> of the State party, including Northern Ireland</w:t>
      </w:r>
      <w:r w:rsidR="0002019B" w:rsidRPr="006C5085">
        <w:rPr>
          <w:b/>
        </w:rPr>
        <w:t xml:space="preserve">. </w:t>
      </w:r>
      <w:r w:rsidRPr="006C5085">
        <w:rPr>
          <w:b/>
        </w:rPr>
        <w:t>In this respect, the Committee draws the attention of the State party to its General Comment N° 20 (2009) on non-discrimination in economic, social and cultural rights.</w:t>
      </w:r>
    </w:p>
    <w:p w14:paraId="74B826DC" w14:textId="06272B62" w:rsidR="00D431CD" w:rsidRPr="006C5085" w:rsidRDefault="00D431CD" w:rsidP="00F932CA">
      <w:pPr>
        <w:pStyle w:val="H23G"/>
        <w:ind w:firstLine="0"/>
      </w:pPr>
      <w:r w:rsidRPr="006C5085">
        <w:t>Asylum seekers</w:t>
      </w:r>
    </w:p>
    <w:p w14:paraId="57B7A9E0" w14:textId="45A7295B" w:rsidR="00D431CD" w:rsidRPr="006C5085" w:rsidRDefault="00D431CD" w:rsidP="00D431CD">
      <w:pPr>
        <w:pStyle w:val="SingleTxtG"/>
        <w:numPr>
          <w:ilvl w:val="0"/>
          <w:numId w:val="17"/>
        </w:numPr>
        <w:tabs>
          <w:tab w:val="left" w:pos="1701"/>
        </w:tabs>
        <w:ind w:left="1134" w:firstLine="0"/>
      </w:pPr>
      <w:r w:rsidRPr="006C5085">
        <w:t>The Committee is concerned about the challenges faced by asylum seekers in the enjoyment of economic, social and cultural rights, particularly due to restriction</w:t>
      </w:r>
      <w:r w:rsidR="00D13DDD" w:rsidRPr="006C5085">
        <w:t>s</w:t>
      </w:r>
      <w:r w:rsidRPr="006C5085">
        <w:t xml:space="preserve"> in accessing employment and the insufficient level of support provide</w:t>
      </w:r>
      <w:r w:rsidR="00D13DDD" w:rsidRPr="006C5085">
        <w:t>d</w:t>
      </w:r>
      <w:r w:rsidRPr="006C5085">
        <w:t xml:space="preserve"> through the daily allowance (</w:t>
      </w:r>
      <w:r w:rsidR="00326C95">
        <w:t>art.</w:t>
      </w:r>
      <w:r w:rsidRPr="006C5085">
        <w:t> 2, para. 2</w:t>
      </w:r>
      <w:r w:rsidR="00315D79" w:rsidRPr="006C5085">
        <w:t xml:space="preserve"> and </w:t>
      </w:r>
      <w:r w:rsidR="00CF30B7">
        <w:t>11</w:t>
      </w:r>
      <w:r w:rsidRPr="006C5085">
        <w:t>).</w:t>
      </w:r>
    </w:p>
    <w:p w14:paraId="3BFCDC34" w14:textId="12530AE3" w:rsidR="00D431CD" w:rsidRPr="006C5085" w:rsidRDefault="00D431CD" w:rsidP="00D431CD">
      <w:pPr>
        <w:pStyle w:val="SingleTxtG"/>
        <w:numPr>
          <w:ilvl w:val="0"/>
          <w:numId w:val="17"/>
        </w:numPr>
        <w:tabs>
          <w:tab w:val="left" w:pos="1701"/>
        </w:tabs>
        <w:ind w:left="1134" w:firstLine="0"/>
        <w:rPr>
          <w:b/>
          <w:color w:val="000000"/>
        </w:rPr>
      </w:pPr>
      <w:r w:rsidRPr="006C5085">
        <w:rPr>
          <w:b/>
        </w:rPr>
        <w:t>The Committee recommends that the State party</w:t>
      </w:r>
      <w:r w:rsidR="00315D79" w:rsidRPr="006C5085">
        <w:rPr>
          <w:b/>
        </w:rPr>
        <w:t xml:space="preserve"> increase the level </w:t>
      </w:r>
      <w:r w:rsidR="00A20656">
        <w:rPr>
          <w:b/>
        </w:rPr>
        <w:t xml:space="preserve">of </w:t>
      </w:r>
      <w:r w:rsidR="00315D79" w:rsidRPr="006C5085">
        <w:rPr>
          <w:b/>
        </w:rPr>
        <w:t xml:space="preserve">support provided to </w:t>
      </w:r>
      <w:r w:rsidRPr="006C5085">
        <w:rPr>
          <w:b/>
          <w:spacing w:val="-2"/>
        </w:rPr>
        <w:t>asylum seekers</w:t>
      </w:r>
      <w:r w:rsidR="00315D79" w:rsidRPr="006C5085">
        <w:rPr>
          <w:b/>
          <w:spacing w:val="-2"/>
        </w:rPr>
        <w:t>, including through the daily allowance in order to ensure their enjoyment of economic, social and cultural rights, in particular the right to an adequate standard of living</w:t>
      </w:r>
      <w:r w:rsidRPr="006C5085">
        <w:rPr>
          <w:b/>
          <w:spacing w:val="-2"/>
        </w:rPr>
        <w:t>. The Committee</w:t>
      </w:r>
      <w:r w:rsidR="00315D79" w:rsidRPr="006C5085">
        <w:rPr>
          <w:b/>
          <w:spacing w:val="-2"/>
        </w:rPr>
        <w:t xml:space="preserve"> reiterates its previous recommendation (E/C.12/GBR/CO/5,</w:t>
      </w:r>
      <w:r w:rsidR="008B293B">
        <w:rPr>
          <w:b/>
          <w:spacing w:val="-2"/>
        </w:rPr>
        <w:t xml:space="preserve"> para. 27)</w:t>
      </w:r>
      <w:r w:rsidR="00315D79" w:rsidRPr="006C5085">
        <w:rPr>
          <w:b/>
          <w:spacing w:val="-2"/>
        </w:rPr>
        <w:t xml:space="preserve"> and encourages the State party to ensure that asylum seekers are not restricted from accessing </w:t>
      </w:r>
      <w:r w:rsidR="002A219C">
        <w:rPr>
          <w:b/>
          <w:spacing w:val="-2"/>
        </w:rPr>
        <w:t>employment</w:t>
      </w:r>
      <w:r w:rsidR="00315D79" w:rsidRPr="006C5085">
        <w:rPr>
          <w:b/>
          <w:spacing w:val="-2"/>
        </w:rPr>
        <w:t xml:space="preserve"> while their claims are being processed</w:t>
      </w:r>
      <w:r w:rsidRPr="006C5085">
        <w:rPr>
          <w:b/>
          <w:color w:val="000000"/>
          <w:spacing w:val="-2"/>
        </w:rPr>
        <w:t>.</w:t>
      </w:r>
    </w:p>
    <w:p w14:paraId="068CB593" w14:textId="16D55466" w:rsidR="00444FE6" w:rsidRPr="006C5085" w:rsidRDefault="00444FE6" w:rsidP="00F932CA">
      <w:pPr>
        <w:pStyle w:val="H23G"/>
        <w:ind w:firstLine="0"/>
      </w:pPr>
      <w:r w:rsidRPr="006C5085">
        <w:t>Equality between men and women</w:t>
      </w:r>
    </w:p>
    <w:p w14:paraId="585BD33E" w14:textId="7030164D" w:rsidR="00CB62DC" w:rsidRPr="006C5085" w:rsidRDefault="00D25FA9" w:rsidP="00D25FA9">
      <w:pPr>
        <w:pStyle w:val="SingleTxtG"/>
        <w:numPr>
          <w:ilvl w:val="0"/>
          <w:numId w:val="17"/>
        </w:numPr>
        <w:tabs>
          <w:tab w:val="left" w:pos="1701"/>
        </w:tabs>
        <w:ind w:left="1134" w:firstLine="0"/>
      </w:pPr>
      <w:r w:rsidRPr="006C5085">
        <w:t xml:space="preserve">The Committee is concerned </w:t>
      </w:r>
      <w:r w:rsidR="00FF75A4" w:rsidRPr="006C5085">
        <w:t>about persisten</w:t>
      </w:r>
      <w:r w:rsidR="00CF30B7">
        <w:t>t</w:t>
      </w:r>
      <w:r w:rsidR="00FF75A4" w:rsidRPr="006C5085">
        <w:t xml:space="preserve"> </w:t>
      </w:r>
      <w:r w:rsidRPr="006C5085">
        <w:t>underrepresentation of women in decision-making positions in the public</w:t>
      </w:r>
      <w:r w:rsidR="00470F24" w:rsidRPr="006C5085">
        <w:t xml:space="preserve"> and private</w:t>
      </w:r>
      <w:r w:rsidRPr="006C5085">
        <w:t xml:space="preserve"> sector</w:t>
      </w:r>
      <w:r w:rsidR="00470F24" w:rsidRPr="006C5085">
        <w:t>s</w:t>
      </w:r>
      <w:r w:rsidR="00CB62DC" w:rsidRPr="006C5085">
        <w:t xml:space="preserve">. </w:t>
      </w:r>
      <w:r w:rsidR="00FD4BBD" w:rsidRPr="006C5085">
        <w:t xml:space="preserve">While noting </w:t>
      </w:r>
      <w:r w:rsidR="00CB62DC" w:rsidRPr="006C5085">
        <w:t>the duty of public authorities to report gender inequalities and the</w:t>
      </w:r>
      <w:r w:rsidR="00A946CA" w:rsidRPr="006C5085">
        <w:t xml:space="preserve"> implementation of the Think, Act, Report</w:t>
      </w:r>
      <w:r w:rsidR="008416F1" w:rsidRPr="006C5085">
        <w:t xml:space="preserve"> initiative</w:t>
      </w:r>
      <w:r w:rsidR="00A946CA" w:rsidRPr="006C5085">
        <w:t xml:space="preserve">, the Committee </w:t>
      </w:r>
      <w:r w:rsidR="00FF75A4" w:rsidRPr="006C5085">
        <w:t>is</w:t>
      </w:r>
      <w:r w:rsidR="008416F1" w:rsidRPr="006C5085">
        <w:t xml:space="preserve"> concerned about the significant </w:t>
      </w:r>
      <w:r w:rsidR="00EA39EE" w:rsidRPr="006C5085">
        <w:t>gender pay gap, particularly in Scotland</w:t>
      </w:r>
      <w:r w:rsidR="00A946CA" w:rsidRPr="006C5085">
        <w:t xml:space="preserve"> (</w:t>
      </w:r>
      <w:r w:rsidR="00DA7839">
        <w:t>a</w:t>
      </w:r>
      <w:r w:rsidR="00A946CA" w:rsidRPr="006C5085">
        <w:t>rt. 3)</w:t>
      </w:r>
      <w:r w:rsidR="00EA39EE" w:rsidRPr="006C5085">
        <w:t>.</w:t>
      </w:r>
    </w:p>
    <w:p w14:paraId="34577F72" w14:textId="7FD47224" w:rsidR="00470F24" w:rsidRPr="006C5085" w:rsidRDefault="00736903" w:rsidP="00FD4BBD">
      <w:pPr>
        <w:pStyle w:val="SingleTxtG"/>
        <w:numPr>
          <w:ilvl w:val="0"/>
          <w:numId w:val="17"/>
        </w:numPr>
        <w:tabs>
          <w:tab w:val="left" w:pos="1701"/>
        </w:tabs>
        <w:ind w:left="1134" w:firstLine="0"/>
        <w:rPr>
          <w:b/>
        </w:rPr>
      </w:pPr>
      <w:r>
        <w:rPr>
          <w:b/>
          <w:bCs/>
        </w:rPr>
        <w:t>T</w:t>
      </w:r>
      <w:r w:rsidRPr="006C5085">
        <w:rPr>
          <w:b/>
          <w:bCs/>
        </w:rPr>
        <w:t xml:space="preserve">he </w:t>
      </w:r>
      <w:r w:rsidR="00CB62DC" w:rsidRPr="006C5085">
        <w:rPr>
          <w:b/>
          <w:bCs/>
        </w:rPr>
        <w:t>Committee recommends that the State party</w:t>
      </w:r>
      <w:r w:rsidR="00470F24" w:rsidRPr="006C5085">
        <w:rPr>
          <w:b/>
          <w:bCs/>
        </w:rPr>
        <w:t>:</w:t>
      </w:r>
    </w:p>
    <w:p w14:paraId="5AF416DF" w14:textId="142BDE1F" w:rsidR="00470F24" w:rsidRPr="006C5085" w:rsidRDefault="00576064" w:rsidP="00F932CA">
      <w:pPr>
        <w:pStyle w:val="SingleTxtG"/>
        <w:numPr>
          <w:ilvl w:val="0"/>
          <w:numId w:val="25"/>
        </w:numPr>
        <w:tabs>
          <w:tab w:val="left" w:pos="1701"/>
        </w:tabs>
        <w:ind w:left="1134" w:firstLine="567"/>
        <w:rPr>
          <w:b/>
          <w:bCs/>
        </w:rPr>
      </w:pPr>
      <w:r w:rsidRPr="006C5085">
        <w:rPr>
          <w:b/>
          <w:bCs/>
        </w:rPr>
        <w:t xml:space="preserve">Intensify its efforts </w:t>
      </w:r>
      <w:r w:rsidR="00CB62DC" w:rsidRPr="006C5085">
        <w:rPr>
          <w:b/>
          <w:bCs/>
        </w:rPr>
        <w:t xml:space="preserve">to </w:t>
      </w:r>
      <w:r w:rsidR="00121573" w:rsidRPr="006C5085">
        <w:rPr>
          <w:b/>
          <w:bCs/>
        </w:rPr>
        <w:t>increase the level of representation of women in decision-making positions</w:t>
      </w:r>
      <w:r w:rsidR="00470F24" w:rsidRPr="006C5085">
        <w:rPr>
          <w:b/>
          <w:bCs/>
        </w:rPr>
        <w:t>, both in the public and private sectors;</w:t>
      </w:r>
    </w:p>
    <w:p w14:paraId="0F6AEE11" w14:textId="05D967CD" w:rsidR="00963B2C" w:rsidRPr="00963B2C" w:rsidRDefault="00AA6771" w:rsidP="00F932CA">
      <w:pPr>
        <w:pStyle w:val="SingleTxtG"/>
        <w:numPr>
          <w:ilvl w:val="0"/>
          <w:numId w:val="25"/>
        </w:numPr>
        <w:tabs>
          <w:tab w:val="left" w:pos="1701"/>
        </w:tabs>
        <w:ind w:left="1134" w:firstLine="567"/>
        <w:rPr>
          <w:b/>
        </w:rPr>
      </w:pPr>
      <w:r w:rsidRPr="006C5085">
        <w:rPr>
          <w:b/>
          <w:bCs/>
        </w:rPr>
        <w:t>Adopt effective</w:t>
      </w:r>
      <w:r w:rsidR="00576064" w:rsidRPr="006C5085">
        <w:rPr>
          <w:b/>
          <w:bCs/>
        </w:rPr>
        <w:t xml:space="preserve"> measures to e</w:t>
      </w:r>
      <w:r w:rsidR="00CB62DC" w:rsidRPr="006C5085">
        <w:rPr>
          <w:b/>
          <w:bCs/>
        </w:rPr>
        <w:t>liminate the persistent gender pay gap</w:t>
      </w:r>
      <w:r w:rsidRPr="006C5085">
        <w:rPr>
          <w:b/>
          <w:bCs/>
        </w:rPr>
        <w:t>, including</w:t>
      </w:r>
      <w:r w:rsidR="00CB62DC" w:rsidRPr="006C5085">
        <w:rPr>
          <w:b/>
          <w:bCs/>
        </w:rPr>
        <w:t xml:space="preserve"> by addressing the significant vertical and horizontal gender-based segregation in the labour market, which results in women occupying lower paid jobs and facing obstacles in the enjoyment of career opportunities on an equal footing with men</w:t>
      </w:r>
      <w:r w:rsidR="00963B2C">
        <w:rPr>
          <w:b/>
          <w:bCs/>
        </w:rPr>
        <w:t xml:space="preserve">; </w:t>
      </w:r>
      <w:r w:rsidR="00C4245C" w:rsidRPr="006C5085">
        <w:rPr>
          <w:b/>
          <w:bCs/>
        </w:rPr>
        <w:t>and</w:t>
      </w:r>
    </w:p>
    <w:p w14:paraId="24DFDBCC" w14:textId="15EA6C30" w:rsidR="00A20656" w:rsidRPr="00A20656" w:rsidRDefault="00A2133E" w:rsidP="00F932CA">
      <w:pPr>
        <w:pStyle w:val="SingleTxtG"/>
        <w:numPr>
          <w:ilvl w:val="0"/>
          <w:numId w:val="25"/>
        </w:numPr>
        <w:tabs>
          <w:tab w:val="left" w:pos="1701"/>
        </w:tabs>
        <w:ind w:left="1134" w:firstLine="567"/>
        <w:rPr>
          <w:b/>
        </w:rPr>
      </w:pPr>
      <w:r>
        <w:rPr>
          <w:b/>
        </w:rPr>
        <w:lastRenderedPageBreak/>
        <w:t>Increase</w:t>
      </w:r>
      <w:r w:rsidR="00963B2C">
        <w:rPr>
          <w:b/>
        </w:rPr>
        <w:t xml:space="preserve"> its efforts to ensure </w:t>
      </w:r>
      <w:r w:rsidR="00963B2C" w:rsidRPr="006C5085">
        <w:rPr>
          <w:b/>
        </w:rPr>
        <w:t>equal remuneration for work of equal value without distinction of any kind</w:t>
      </w:r>
      <w:r w:rsidR="00FF75A4" w:rsidRPr="006C5085">
        <w:rPr>
          <w:b/>
          <w:bCs/>
        </w:rPr>
        <w:t>.</w:t>
      </w:r>
    </w:p>
    <w:p w14:paraId="16B97430" w14:textId="096D74F8" w:rsidR="00470F24" w:rsidRPr="006C5085" w:rsidRDefault="00A20656" w:rsidP="00D26D88">
      <w:pPr>
        <w:pStyle w:val="SingleTxtG"/>
        <w:numPr>
          <w:ilvl w:val="0"/>
          <w:numId w:val="17"/>
        </w:numPr>
        <w:tabs>
          <w:tab w:val="left" w:pos="1701"/>
        </w:tabs>
        <w:ind w:left="1134" w:firstLine="0"/>
        <w:rPr>
          <w:b/>
        </w:rPr>
      </w:pPr>
      <w:r w:rsidRPr="00A20656">
        <w:rPr>
          <w:b/>
        </w:rPr>
        <w:t>The</w:t>
      </w:r>
      <w:r>
        <w:rPr>
          <w:b/>
        </w:rPr>
        <w:t xml:space="preserve"> Committee draws the attention of the State party to </w:t>
      </w:r>
      <w:r w:rsidRPr="006C5085">
        <w:rPr>
          <w:b/>
          <w:bCs/>
        </w:rPr>
        <w:t xml:space="preserve">its </w:t>
      </w:r>
      <w:r w:rsidR="00736903">
        <w:rPr>
          <w:b/>
          <w:bCs/>
        </w:rPr>
        <w:t>G</w:t>
      </w:r>
      <w:r w:rsidRPr="006C5085">
        <w:rPr>
          <w:b/>
          <w:bCs/>
        </w:rPr>
        <w:t xml:space="preserve">eneral </w:t>
      </w:r>
      <w:r w:rsidR="00736903">
        <w:rPr>
          <w:b/>
          <w:bCs/>
        </w:rPr>
        <w:t>C</w:t>
      </w:r>
      <w:r w:rsidRPr="006C5085">
        <w:rPr>
          <w:b/>
          <w:bCs/>
        </w:rPr>
        <w:t>omment No. 16 (2005) on the equal right of men and women to the enjoyment of all economic, social and cultural rights</w:t>
      </w:r>
      <w:r w:rsidR="00736903">
        <w:rPr>
          <w:b/>
          <w:bCs/>
        </w:rPr>
        <w:t>.</w:t>
      </w:r>
    </w:p>
    <w:p w14:paraId="151052AA" w14:textId="71F4F54B" w:rsidR="00FD5016" w:rsidRPr="00F932CA" w:rsidRDefault="00FD5016" w:rsidP="00F932CA">
      <w:pPr>
        <w:pStyle w:val="H23G"/>
        <w:ind w:firstLine="0"/>
      </w:pPr>
      <w:r w:rsidRPr="006C5085">
        <w:t>Unemployment</w:t>
      </w:r>
    </w:p>
    <w:p w14:paraId="051E8740" w14:textId="5D733AA0" w:rsidR="00121573" w:rsidRPr="006C5085" w:rsidRDefault="00B00D1E" w:rsidP="00121573">
      <w:pPr>
        <w:pStyle w:val="SingleTxtG"/>
        <w:numPr>
          <w:ilvl w:val="0"/>
          <w:numId w:val="17"/>
        </w:numPr>
        <w:tabs>
          <w:tab w:val="left" w:pos="1701"/>
        </w:tabs>
        <w:ind w:left="1134" w:firstLine="0"/>
      </w:pPr>
      <w:r w:rsidRPr="006C5085">
        <w:t>The Committee is concerned that</w:t>
      </w:r>
      <w:r w:rsidR="00121573" w:rsidRPr="006C5085">
        <w:t xml:space="preserve">, despite the </w:t>
      </w:r>
      <w:r w:rsidR="00963B2C">
        <w:t>increase</w:t>
      </w:r>
      <w:r w:rsidR="00963B2C" w:rsidRPr="006C5085">
        <w:t xml:space="preserve"> </w:t>
      </w:r>
      <w:r w:rsidR="00121573" w:rsidRPr="006C5085">
        <w:t>in the employment rate, some</w:t>
      </w:r>
      <w:r w:rsidRPr="006C5085">
        <w:t xml:space="preserve"> disadvantaged and marginalized individuals</w:t>
      </w:r>
      <w:r w:rsidR="008416F1" w:rsidRPr="006C5085">
        <w:t xml:space="preserve"> and</w:t>
      </w:r>
      <w:r w:rsidRPr="006C5085">
        <w:t xml:space="preserve"> </w:t>
      </w:r>
      <w:r w:rsidR="008416F1" w:rsidRPr="006C5085">
        <w:t xml:space="preserve">groups </w:t>
      </w:r>
      <w:r w:rsidRPr="006C5085">
        <w:t xml:space="preserve">continue to be disproportionately affected by unemployment, including persons with disabilities, </w:t>
      </w:r>
      <w:r w:rsidR="00121573" w:rsidRPr="006C5085">
        <w:t xml:space="preserve">young people and persons belonging to ethnic, religious or other minorities </w:t>
      </w:r>
      <w:r w:rsidRPr="006C5085">
        <w:t>(</w:t>
      </w:r>
      <w:r w:rsidR="00326C95">
        <w:t>art.</w:t>
      </w:r>
      <w:r w:rsidRPr="006C5085">
        <w:t xml:space="preserve"> 6).</w:t>
      </w:r>
    </w:p>
    <w:p w14:paraId="0460719C" w14:textId="289CFA0C" w:rsidR="00F14CE0" w:rsidRPr="006C5085" w:rsidRDefault="008D1186" w:rsidP="007101D4">
      <w:pPr>
        <w:pStyle w:val="SingleTxtG"/>
        <w:numPr>
          <w:ilvl w:val="0"/>
          <w:numId w:val="17"/>
        </w:numPr>
        <w:tabs>
          <w:tab w:val="left" w:pos="1701"/>
        </w:tabs>
        <w:ind w:left="1134" w:firstLine="0"/>
        <w:rPr>
          <w:b/>
        </w:rPr>
      </w:pPr>
      <w:r w:rsidRPr="006C5085">
        <w:rPr>
          <w:b/>
        </w:rPr>
        <w:t>Recalling its previous recommendations (E/C.12/GBR/CO/5, para</w:t>
      </w:r>
      <w:r w:rsidR="006916B6" w:rsidRPr="006C5085">
        <w:rPr>
          <w:b/>
        </w:rPr>
        <w:t>s</w:t>
      </w:r>
      <w:r w:rsidRPr="006C5085">
        <w:rPr>
          <w:b/>
        </w:rPr>
        <w:t>. 20</w:t>
      </w:r>
      <w:r w:rsidR="006916B6" w:rsidRPr="006C5085">
        <w:rPr>
          <w:b/>
        </w:rPr>
        <w:t xml:space="preserve"> and 21</w:t>
      </w:r>
      <w:r w:rsidRPr="006C5085">
        <w:rPr>
          <w:b/>
        </w:rPr>
        <w:t xml:space="preserve">), </w:t>
      </w:r>
      <w:r w:rsidR="007101D4" w:rsidRPr="006C5085">
        <w:rPr>
          <w:b/>
        </w:rPr>
        <w:t>the Committee</w:t>
      </w:r>
      <w:r w:rsidRPr="006C5085">
        <w:rPr>
          <w:b/>
        </w:rPr>
        <w:t xml:space="preserve"> recommends that the State party</w:t>
      </w:r>
      <w:r w:rsidR="006916B6" w:rsidRPr="006C5085">
        <w:rPr>
          <w:b/>
        </w:rPr>
        <w:t xml:space="preserve"> </w:t>
      </w:r>
      <w:r w:rsidR="00963B2C">
        <w:rPr>
          <w:b/>
        </w:rPr>
        <w:t>review its</w:t>
      </w:r>
      <w:r w:rsidR="006916B6" w:rsidRPr="006C5085">
        <w:rPr>
          <w:b/>
        </w:rPr>
        <w:t xml:space="preserve"> employment polic</w:t>
      </w:r>
      <w:r w:rsidR="00963B2C">
        <w:rPr>
          <w:b/>
        </w:rPr>
        <w:t>ies</w:t>
      </w:r>
      <w:r w:rsidR="006916B6" w:rsidRPr="006C5085">
        <w:rPr>
          <w:b/>
        </w:rPr>
        <w:t xml:space="preserve"> </w:t>
      </w:r>
      <w:r w:rsidR="00963B2C">
        <w:rPr>
          <w:b/>
        </w:rPr>
        <w:t xml:space="preserve">to </w:t>
      </w:r>
      <w:r w:rsidR="007101D4" w:rsidRPr="006C5085">
        <w:rPr>
          <w:b/>
        </w:rPr>
        <w:t>address</w:t>
      </w:r>
      <w:r w:rsidR="00736903">
        <w:rPr>
          <w:b/>
        </w:rPr>
        <w:t xml:space="preserve"> </w:t>
      </w:r>
      <w:r w:rsidR="007101D4" w:rsidRPr="006C5085">
        <w:rPr>
          <w:b/>
        </w:rPr>
        <w:t xml:space="preserve">the root causes for unemployment </w:t>
      </w:r>
      <w:r w:rsidR="00FF75A4" w:rsidRPr="006C5085">
        <w:rPr>
          <w:b/>
        </w:rPr>
        <w:t>and</w:t>
      </w:r>
      <w:r w:rsidR="006916B6" w:rsidRPr="006C5085">
        <w:rPr>
          <w:b/>
        </w:rPr>
        <w:t xml:space="preserve"> include </w:t>
      </w:r>
      <w:r w:rsidR="00963B2C">
        <w:rPr>
          <w:b/>
        </w:rPr>
        <w:t xml:space="preserve">in its </w:t>
      </w:r>
      <w:r w:rsidR="006916B6" w:rsidRPr="006C5085">
        <w:rPr>
          <w:b/>
        </w:rPr>
        <w:t xml:space="preserve">action plan </w:t>
      </w:r>
      <w:r w:rsidR="00963B2C">
        <w:rPr>
          <w:b/>
        </w:rPr>
        <w:t>time-bound</w:t>
      </w:r>
      <w:r w:rsidR="006916B6" w:rsidRPr="006C5085">
        <w:rPr>
          <w:b/>
        </w:rPr>
        <w:t xml:space="preserve"> goals </w:t>
      </w:r>
      <w:r w:rsidR="00963B2C">
        <w:rPr>
          <w:b/>
        </w:rPr>
        <w:t>with a specific</w:t>
      </w:r>
      <w:r w:rsidR="006916B6" w:rsidRPr="006C5085">
        <w:rPr>
          <w:b/>
        </w:rPr>
        <w:t xml:space="preserve"> focus on groups </w:t>
      </w:r>
      <w:r w:rsidR="00963B2C">
        <w:rPr>
          <w:b/>
        </w:rPr>
        <w:t xml:space="preserve">disproportionately affected by </w:t>
      </w:r>
      <w:r w:rsidR="006916B6" w:rsidRPr="006C5085">
        <w:rPr>
          <w:b/>
        </w:rPr>
        <w:t xml:space="preserve">unemployment, such as </w:t>
      </w:r>
      <w:r w:rsidRPr="006C5085">
        <w:rPr>
          <w:b/>
        </w:rPr>
        <w:t>young people, persons with disabilities and persons of ethnic, religious or other minorities</w:t>
      </w:r>
      <w:r w:rsidR="007101D4" w:rsidRPr="006C5085">
        <w:rPr>
          <w:b/>
        </w:rPr>
        <w:t>.</w:t>
      </w:r>
    </w:p>
    <w:p w14:paraId="2C7F46CA" w14:textId="293163BF" w:rsidR="008D1186" w:rsidRPr="00F932CA" w:rsidRDefault="007101D4" w:rsidP="00F932CA">
      <w:pPr>
        <w:pStyle w:val="H23G"/>
        <w:ind w:firstLine="0"/>
      </w:pPr>
      <w:r w:rsidRPr="006C5085">
        <w:t>Working conditions</w:t>
      </w:r>
    </w:p>
    <w:p w14:paraId="397C1425" w14:textId="66CC5181" w:rsidR="007101D4" w:rsidRPr="006C5085" w:rsidRDefault="007101D4" w:rsidP="00055B13">
      <w:pPr>
        <w:pStyle w:val="SingleTxtG"/>
        <w:numPr>
          <w:ilvl w:val="0"/>
          <w:numId w:val="17"/>
        </w:numPr>
        <w:tabs>
          <w:tab w:val="left" w:pos="1701"/>
        </w:tabs>
        <w:ind w:left="1134" w:firstLine="0"/>
        <w:rPr>
          <w:rFonts w:eastAsia="Calibri"/>
          <w:lang w:eastAsia="en-GB"/>
        </w:rPr>
      </w:pPr>
      <w:r w:rsidRPr="006C5085">
        <w:rPr>
          <w:rFonts w:eastAsia="Calibri"/>
          <w:lang w:eastAsia="en-GB"/>
        </w:rPr>
        <w:t xml:space="preserve">The Committee is concerned at the high incidence of part-time work, </w:t>
      </w:r>
      <w:r w:rsidR="007659F9">
        <w:rPr>
          <w:rFonts w:eastAsia="Calibri"/>
          <w:lang w:eastAsia="en-GB"/>
        </w:rPr>
        <w:t xml:space="preserve">precarious </w:t>
      </w:r>
      <w:r w:rsidRPr="006C5085">
        <w:rPr>
          <w:rFonts w:eastAsia="Calibri"/>
          <w:lang w:eastAsia="en-GB"/>
        </w:rPr>
        <w:t>self-e</w:t>
      </w:r>
      <w:r w:rsidR="00FF75A4" w:rsidRPr="006C5085">
        <w:rPr>
          <w:rFonts w:eastAsia="Calibri"/>
          <w:lang w:eastAsia="en-GB"/>
        </w:rPr>
        <w:t>mployment, temporary employment</w:t>
      </w:r>
      <w:r w:rsidRPr="006C5085">
        <w:rPr>
          <w:rFonts w:eastAsia="Calibri"/>
          <w:lang w:eastAsia="en-GB"/>
        </w:rPr>
        <w:t xml:space="preserve"> and the use of “zero hour contracts” in the State party, </w:t>
      </w:r>
      <w:r w:rsidRPr="006C5085">
        <w:t>particularly</w:t>
      </w:r>
      <w:r w:rsidR="00FF75A4" w:rsidRPr="006C5085">
        <w:t xml:space="preserve"> affect</w:t>
      </w:r>
      <w:r w:rsidR="00BF7294" w:rsidRPr="006C5085">
        <w:t xml:space="preserve">ing </w:t>
      </w:r>
      <w:r w:rsidR="00BF7294" w:rsidRPr="006C5085">
        <w:rPr>
          <w:rFonts w:eastAsia="Calibri"/>
          <w:lang w:eastAsia="en-GB"/>
        </w:rPr>
        <w:t xml:space="preserve">women. </w:t>
      </w:r>
      <w:r w:rsidR="00D13DDD" w:rsidRPr="006C5085">
        <w:rPr>
          <w:rFonts w:eastAsia="Calibri"/>
          <w:lang w:eastAsia="en-GB"/>
        </w:rPr>
        <w:t>I</w:t>
      </w:r>
      <w:r w:rsidR="00BF7294" w:rsidRPr="006C5085">
        <w:rPr>
          <w:rFonts w:eastAsia="Calibri"/>
          <w:lang w:eastAsia="en-GB"/>
        </w:rPr>
        <w:t xml:space="preserve">t is </w:t>
      </w:r>
      <w:r w:rsidR="00D13DDD" w:rsidRPr="006C5085">
        <w:rPr>
          <w:rFonts w:eastAsia="Calibri"/>
          <w:lang w:eastAsia="en-GB"/>
        </w:rPr>
        <w:t xml:space="preserve">also </w:t>
      </w:r>
      <w:r w:rsidR="00BF7294" w:rsidRPr="006C5085">
        <w:rPr>
          <w:rFonts w:eastAsia="Calibri"/>
          <w:lang w:eastAsia="en-GB"/>
        </w:rPr>
        <w:t xml:space="preserve">concerned </w:t>
      </w:r>
      <w:r w:rsidRPr="006C5085">
        <w:rPr>
          <w:rFonts w:eastAsia="Calibri"/>
          <w:lang w:eastAsia="en-GB"/>
        </w:rPr>
        <w:t>about the negative impact that all of those forms of employment have on the enjoyment by workers of their right to just and favourable conditions of work</w:t>
      </w:r>
      <w:r w:rsidR="00CE52F1" w:rsidRPr="006C5085">
        <w:rPr>
          <w:rFonts w:eastAsia="Calibri"/>
          <w:lang w:eastAsia="en-GB"/>
        </w:rPr>
        <w:t xml:space="preserve">. </w:t>
      </w:r>
      <w:r w:rsidR="00BF7294" w:rsidRPr="006C5085">
        <w:rPr>
          <w:rFonts w:eastAsia="Calibri"/>
          <w:lang w:eastAsia="en-GB"/>
        </w:rPr>
        <w:t xml:space="preserve">Furthermore, the </w:t>
      </w:r>
      <w:r w:rsidR="00CE52F1" w:rsidRPr="006C5085">
        <w:rPr>
          <w:rFonts w:eastAsia="Calibri"/>
          <w:lang w:eastAsia="en-GB"/>
        </w:rPr>
        <w:t>Co</w:t>
      </w:r>
      <w:r w:rsidR="00BF7294" w:rsidRPr="006C5085">
        <w:rPr>
          <w:rFonts w:eastAsia="Calibri"/>
          <w:lang w:eastAsia="en-GB"/>
        </w:rPr>
        <w:t>mmittee is</w:t>
      </w:r>
      <w:r w:rsidR="00406D30" w:rsidRPr="006C5085">
        <w:rPr>
          <w:rFonts w:eastAsia="Calibri"/>
          <w:lang w:eastAsia="en-GB"/>
        </w:rPr>
        <w:t xml:space="preserve"> concerned about </w:t>
      </w:r>
      <w:r w:rsidR="00D13DDD" w:rsidRPr="006C5085">
        <w:rPr>
          <w:rFonts w:eastAsia="Calibri"/>
          <w:lang w:eastAsia="en-GB"/>
        </w:rPr>
        <w:t xml:space="preserve">the </w:t>
      </w:r>
      <w:r w:rsidR="00406D30" w:rsidRPr="006C5085">
        <w:rPr>
          <w:rFonts w:eastAsia="Calibri"/>
          <w:lang w:eastAsia="en-GB"/>
        </w:rPr>
        <w:t xml:space="preserve">high number </w:t>
      </w:r>
      <w:r w:rsidR="00351565" w:rsidRPr="006C5085">
        <w:rPr>
          <w:rFonts w:eastAsia="Calibri"/>
          <w:lang w:eastAsia="en-GB"/>
        </w:rPr>
        <w:t>of</w:t>
      </w:r>
      <w:r w:rsidR="00406D30" w:rsidRPr="006C5085">
        <w:rPr>
          <w:rFonts w:eastAsia="Calibri"/>
          <w:lang w:eastAsia="en-GB"/>
        </w:rPr>
        <w:t xml:space="preserve"> low-paid jobs, which affects in particular </w:t>
      </w:r>
      <w:r w:rsidR="00CE52F1" w:rsidRPr="006C5085">
        <w:rPr>
          <w:rFonts w:eastAsia="Calibri"/>
          <w:lang w:eastAsia="en-GB"/>
        </w:rPr>
        <w:t>some sectors</w:t>
      </w:r>
      <w:r w:rsidR="00406D30" w:rsidRPr="006C5085">
        <w:rPr>
          <w:rFonts w:eastAsia="Calibri"/>
          <w:lang w:eastAsia="en-GB"/>
        </w:rPr>
        <w:t>,</w:t>
      </w:r>
      <w:r w:rsidR="00CE52F1" w:rsidRPr="006C5085">
        <w:rPr>
          <w:rFonts w:eastAsia="Calibri"/>
          <w:lang w:eastAsia="en-GB"/>
        </w:rPr>
        <w:t xml:space="preserve"> such as </w:t>
      </w:r>
      <w:r w:rsidR="00D13DDD" w:rsidRPr="006C5085">
        <w:rPr>
          <w:rFonts w:eastAsia="Calibri"/>
          <w:lang w:eastAsia="en-GB"/>
        </w:rPr>
        <w:t xml:space="preserve">the </w:t>
      </w:r>
      <w:r w:rsidR="00CE52F1" w:rsidRPr="006C5085">
        <w:rPr>
          <w:rFonts w:eastAsia="Calibri"/>
          <w:lang w:eastAsia="en-GB"/>
        </w:rPr>
        <w:t>cleaning and home</w:t>
      </w:r>
      <w:r w:rsidR="00D9789E" w:rsidRPr="006C5085">
        <w:rPr>
          <w:rFonts w:eastAsia="Calibri"/>
          <w:lang w:eastAsia="en-GB"/>
        </w:rPr>
        <w:t xml:space="preserve">care </w:t>
      </w:r>
      <w:r w:rsidR="00CE52F1" w:rsidRPr="006C5085">
        <w:rPr>
          <w:rFonts w:eastAsia="Calibri"/>
          <w:lang w:eastAsia="en-GB"/>
        </w:rPr>
        <w:t>sector</w:t>
      </w:r>
      <w:r w:rsidR="00D13DDD" w:rsidRPr="006C5085">
        <w:rPr>
          <w:rFonts w:eastAsia="Calibri"/>
          <w:lang w:eastAsia="en-GB"/>
        </w:rPr>
        <w:t>s</w:t>
      </w:r>
      <w:r w:rsidRPr="006C5085">
        <w:rPr>
          <w:rFonts w:eastAsia="Calibri"/>
          <w:lang w:eastAsia="en-GB"/>
        </w:rPr>
        <w:t xml:space="preserve"> (arts. 6–8).</w:t>
      </w:r>
    </w:p>
    <w:p w14:paraId="681D98DE" w14:textId="7DD864E1" w:rsidR="007101D4" w:rsidRPr="006C5085" w:rsidRDefault="00A20656" w:rsidP="00D26D88">
      <w:pPr>
        <w:pStyle w:val="SingleTxtG"/>
        <w:numPr>
          <w:ilvl w:val="0"/>
          <w:numId w:val="17"/>
        </w:numPr>
        <w:tabs>
          <w:tab w:val="left" w:pos="1701"/>
        </w:tabs>
        <w:ind w:left="1134" w:firstLine="0"/>
        <w:rPr>
          <w:rFonts w:eastAsia="Calibri"/>
          <w:b/>
          <w:lang w:eastAsia="en-GB"/>
        </w:rPr>
      </w:pPr>
      <w:r>
        <w:rPr>
          <w:rFonts w:eastAsia="Calibri"/>
          <w:b/>
          <w:lang w:eastAsia="en-GB"/>
        </w:rPr>
        <w:t>T</w:t>
      </w:r>
      <w:r w:rsidR="00055B13" w:rsidRPr="006C5085">
        <w:rPr>
          <w:rFonts w:eastAsia="Calibri"/>
          <w:b/>
          <w:lang w:eastAsia="en-GB"/>
        </w:rPr>
        <w:t>he C</w:t>
      </w:r>
      <w:r w:rsidR="007101D4" w:rsidRPr="006C5085">
        <w:rPr>
          <w:rFonts w:eastAsia="Calibri"/>
          <w:b/>
          <w:lang w:eastAsia="en-GB"/>
        </w:rPr>
        <w:t>ommittee recommends that the State party:</w:t>
      </w:r>
    </w:p>
    <w:p w14:paraId="527E7D26" w14:textId="4F624A75" w:rsidR="007101D4" w:rsidRPr="006C5085" w:rsidRDefault="007101D4" w:rsidP="007101D4">
      <w:pPr>
        <w:pStyle w:val="SingleTxtG"/>
        <w:ind w:firstLine="567"/>
        <w:rPr>
          <w:rFonts w:eastAsia="Calibri"/>
          <w:b/>
          <w:lang w:eastAsia="en-GB"/>
        </w:rPr>
      </w:pPr>
      <w:r w:rsidRPr="006C5085">
        <w:rPr>
          <w:rFonts w:eastAsia="Calibri"/>
          <w:b/>
          <w:lang w:eastAsia="en-GB"/>
        </w:rPr>
        <w:t>(a)</w:t>
      </w:r>
      <w:r w:rsidRPr="006C5085">
        <w:rPr>
          <w:rFonts w:eastAsia="Calibri"/>
          <w:b/>
          <w:lang w:eastAsia="en-GB"/>
        </w:rPr>
        <w:tab/>
        <w:t>Take all appropriate measures to progressively reduce the use of temporary employment</w:t>
      </w:r>
      <w:r w:rsidR="007659F9">
        <w:rPr>
          <w:rFonts w:eastAsia="Calibri"/>
          <w:b/>
          <w:lang w:eastAsia="en-GB"/>
        </w:rPr>
        <w:t>, precarious self-employment,</w:t>
      </w:r>
      <w:r w:rsidR="00BF7294" w:rsidRPr="006C5085">
        <w:rPr>
          <w:rFonts w:eastAsia="Calibri"/>
          <w:b/>
          <w:lang w:eastAsia="en-GB"/>
        </w:rPr>
        <w:t xml:space="preserve"> and “zero hour contracts”</w:t>
      </w:r>
      <w:r w:rsidRPr="006C5085">
        <w:rPr>
          <w:rFonts w:eastAsia="Calibri"/>
          <w:b/>
          <w:lang w:eastAsia="en-GB"/>
        </w:rPr>
        <w:t>, including by generating decent work opportunities that offer job security and adequate protection of labour rights;</w:t>
      </w:r>
      <w:r w:rsidR="00A20656" w:rsidRPr="00A20656">
        <w:rPr>
          <w:rFonts w:eastAsia="Calibri"/>
          <w:b/>
          <w:lang w:eastAsia="en-GB"/>
        </w:rPr>
        <w:t xml:space="preserve"> </w:t>
      </w:r>
      <w:r w:rsidR="00A20656" w:rsidRPr="006C5085">
        <w:rPr>
          <w:rFonts w:eastAsia="Calibri"/>
          <w:b/>
          <w:lang w:eastAsia="en-GB"/>
        </w:rPr>
        <w:t>and</w:t>
      </w:r>
    </w:p>
    <w:p w14:paraId="19327140" w14:textId="475FA7C4" w:rsidR="00FE7EC5" w:rsidRDefault="007101D4" w:rsidP="007101D4">
      <w:pPr>
        <w:pStyle w:val="SingleTxtG"/>
        <w:ind w:firstLine="567"/>
        <w:rPr>
          <w:rFonts w:eastAsia="Calibri"/>
          <w:b/>
          <w:lang w:eastAsia="en-GB"/>
        </w:rPr>
      </w:pPr>
      <w:r w:rsidRPr="006C5085">
        <w:rPr>
          <w:rFonts w:eastAsia="Calibri"/>
          <w:b/>
          <w:lang w:eastAsia="en-GB"/>
        </w:rPr>
        <w:t>(b)</w:t>
      </w:r>
      <w:r w:rsidRPr="006C5085">
        <w:rPr>
          <w:rFonts w:eastAsia="Calibri"/>
          <w:b/>
          <w:lang w:eastAsia="en-GB"/>
        </w:rPr>
        <w:tab/>
        <w:t xml:space="preserve"> </w:t>
      </w:r>
      <w:r w:rsidR="00963B2C">
        <w:rPr>
          <w:rFonts w:eastAsia="Calibri"/>
          <w:b/>
          <w:lang w:eastAsia="en-GB"/>
        </w:rPr>
        <w:t>E</w:t>
      </w:r>
      <w:r w:rsidR="00963B2C" w:rsidRPr="006C5085">
        <w:rPr>
          <w:rFonts w:eastAsia="Calibri"/>
          <w:b/>
          <w:lang w:eastAsia="en-GB"/>
        </w:rPr>
        <w:t xml:space="preserve">nsure </w:t>
      </w:r>
      <w:r w:rsidRPr="006C5085">
        <w:rPr>
          <w:rFonts w:eastAsia="Calibri"/>
          <w:b/>
          <w:lang w:eastAsia="en-GB"/>
        </w:rPr>
        <w:t xml:space="preserve">that the labour and social security rights of persons </w:t>
      </w:r>
      <w:r w:rsidR="00963B2C">
        <w:rPr>
          <w:rFonts w:eastAsia="Calibri"/>
          <w:b/>
          <w:lang w:eastAsia="en-GB"/>
        </w:rPr>
        <w:t>in part-time work,</w:t>
      </w:r>
      <w:r w:rsidR="007659F9">
        <w:rPr>
          <w:rFonts w:eastAsia="Calibri"/>
          <w:b/>
          <w:lang w:eastAsia="en-GB"/>
        </w:rPr>
        <w:t xml:space="preserve"> precarious</w:t>
      </w:r>
      <w:r w:rsidR="00963B2C">
        <w:rPr>
          <w:rFonts w:eastAsia="Calibri"/>
          <w:b/>
          <w:lang w:eastAsia="en-GB"/>
        </w:rPr>
        <w:t xml:space="preserve"> self-employment, temporary employment and “zero-hour contracts” </w:t>
      </w:r>
      <w:r w:rsidRPr="006C5085">
        <w:rPr>
          <w:rFonts w:eastAsia="Calibri"/>
          <w:b/>
          <w:lang w:eastAsia="en-GB"/>
        </w:rPr>
        <w:t>are fully guaranteed in law and in practice</w:t>
      </w:r>
      <w:r w:rsidR="00A20656">
        <w:rPr>
          <w:rFonts w:eastAsia="Calibri"/>
          <w:b/>
          <w:lang w:eastAsia="en-GB"/>
        </w:rPr>
        <w:t>.</w:t>
      </w:r>
    </w:p>
    <w:p w14:paraId="06B2EE9D" w14:textId="3BB3E53E" w:rsidR="00A20656" w:rsidRPr="006C5085" w:rsidRDefault="00A20656" w:rsidP="00D26D88">
      <w:pPr>
        <w:pStyle w:val="SingleTxtG"/>
        <w:numPr>
          <w:ilvl w:val="0"/>
          <w:numId w:val="17"/>
        </w:numPr>
        <w:tabs>
          <w:tab w:val="left" w:pos="1701"/>
        </w:tabs>
        <w:ind w:left="1134" w:firstLine="0"/>
        <w:rPr>
          <w:rFonts w:eastAsia="Calibri"/>
          <w:b/>
          <w:lang w:eastAsia="en-GB"/>
        </w:rPr>
      </w:pPr>
      <w:r w:rsidRPr="00A20656">
        <w:rPr>
          <w:b/>
        </w:rPr>
        <w:t>The</w:t>
      </w:r>
      <w:r>
        <w:rPr>
          <w:b/>
        </w:rPr>
        <w:t xml:space="preserve"> </w:t>
      </w:r>
      <w:r w:rsidRPr="00D26D88">
        <w:rPr>
          <w:rFonts w:eastAsia="Calibri"/>
          <w:b/>
          <w:lang w:eastAsia="en-GB"/>
        </w:rPr>
        <w:t>Committee</w:t>
      </w:r>
      <w:r>
        <w:rPr>
          <w:b/>
        </w:rPr>
        <w:t xml:space="preserve"> draws the attention of the State party to </w:t>
      </w:r>
      <w:r w:rsidRPr="006C5085">
        <w:rPr>
          <w:rFonts w:eastAsia="Calibri"/>
          <w:b/>
          <w:lang w:eastAsia="en-GB"/>
        </w:rPr>
        <w:t>its General Comment N° 23 (2016) on the right to just and favourable conditions of work</w:t>
      </w:r>
      <w:r>
        <w:rPr>
          <w:rFonts w:eastAsia="Calibri"/>
          <w:b/>
          <w:lang w:eastAsia="en-GB"/>
        </w:rPr>
        <w:t>.</w:t>
      </w:r>
    </w:p>
    <w:p w14:paraId="150AFB03" w14:textId="7F6E4998" w:rsidR="00F85306" w:rsidRPr="00F932CA" w:rsidRDefault="00F85306" w:rsidP="00F932CA">
      <w:pPr>
        <w:pStyle w:val="H23G"/>
        <w:ind w:firstLine="0"/>
      </w:pPr>
      <w:r w:rsidRPr="006C5085">
        <w:t>Working conditions of migrant workers</w:t>
      </w:r>
    </w:p>
    <w:p w14:paraId="614C636D" w14:textId="19231A7F" w:rsidR="00F85306" w:rsidRPr="006C5085" w:rsidRDefault="00F85306" w:rsidP="00F85306">
      <w:pPr>
        <w:pStyle w:val="SingleTxtG"/>
        <w:numPr>
          <w:ilvl w:val="0"/>
          <w:numId w:val="17"/>
        </w:numPr>
        <w:tabs>
          <w:tab w:val="left" w:pos="1701"/>
        </w:tabs>
        <w:ind w:left="1134" w:firstLine="0"/>
      </w:pPr>
      <w:r w:rsidRPr="006C5085">
        <w:t xml:space="preserve">The Committee remains concerned about the persistent discrimination </w:t>
      </w:r>
      <w:r w:rsidR="006D05B7">
        <w:t>against</w:t>
      </w:r>
      <w:r w:rsidR="006D05B7" w:rsidRPr="006C5085">
        <w:t xml:space="preserve"> </w:t>
      </w:r>
      <w:r w:rsidRPr="006C5085">
        <w:t>migrant workers in the labour market. In particular, it is concerned about the high</w:t>
      </w:r>
      <w:r w:rsidR="006D05B7">
        <w:t xml:space="preserve"> and</w:t>
      </w:r>
      <w:r w:rsidRPr="006C5085">
        <w:t xml:space="preserve"> increasing concentration of migrant workers in low-paid work and that migrant domestic workers are at greater risk of being victims of abusive working conditions</w:t>
      </w:r>
      <w:r w:rsidR="002A219C">
        <w:t xml:space="preserve"> (a</w:t>
      </w:r>
      <w:r w:rsidR="007659F9">
        <w:t>rt. 7)</w:t>
      </w:r>
      <w:r w:rsidRPr="006C5085">
        <w:t xml:space="preserve">. </w:t>
      </w:r>
    </w:p>
    <w:p w14:paraId="4A8F356C" w14:textId="38AF4B23" w:rsidR="00F85306" w:rsidRPr="006C5085" w:rsidRDefault="00F85306" w:rsidP="00F85306">
      <w:pPr>
        <w:pStyle w:val="SingleTxtG"/>
        <w:numPr>
          <w:ilvl w:val="0"/>
          <w:numId w:val="17"/>
        </w:numPr>
        <w:tabs>
          <w:tab w:val="left" w:pos="1701"/>
        </w:tabs>
        <w:ind w:left="1134" w:firstLine="0"/>
        <w:rPr>
          <w:b/>
        </w:rPr>
      </w:pPr>
      <w:r w:rsidRPr="006C5085">
        <w:rPr>
          <w:b/>
        </w:rPr>
        <w:t>The Committee recalls its previous recommendation (E/C.12/GBR/CO/5, para 22) and urges the State party to:</w:t>
      </w:r>
    </w:p>
    <w:p w14:paraId="73014E7E" w14:textId="0FFFC59B" w:rsidR="00F85306" w:rsidRPr="006C5085" w:rsidRDefault="00F85306" w:rsidP="00F85306">
      <w:pPr>
        <w:pStyle w:val="SingleTxtG"/>
        <w:tabs>
          <w:tab w:val="left" w:pos="-1701"/>
        </w:tabs>
        <w:ind w:firstLine="567"/>
        <w:rPr>
          <w:b/>
        </w:rPr>
      </w:pPr>
      <w:r w:rsidRPr="006C5085">
        <w:rPr>
          <w:b/>
        </w:rPr>
        <w:t>(a)</w:t>
      </w:r>
      <w:r w:rsidRPr="006C5085">
        <w:rPr>
          <w:b/>
        </w:rPr>
        <w:tab/>
        <w:t>Adopt all necessary measures to ensure that all migrant workers, including migrant domestic workers</w:t>
      </w:r>
      <w:r w:rsidR="00CF30B7">
        <w:rPr>
          <w:b/>
        </w:rPr>
        <w:t>,</w:t>
      </w:r>
      <w:r w:rsidRPr="006C5085">
        <w:rPr>
          <w:b/>
        </w:rPr>
        <w:t xml:space="preserve"> enjoy the same conditions as other workers regarding remuneration, protection against unfair dismissal, rest and leisure, limitation of working hours, social security and maternity leave protection;</w:t>
      </w:r>
    </w:p>
    <w:p w14:paraId="142D24F2" w14:textId="37E23E74" w:rsidR="00F85306" w:rsidRPr="006C5085" w:rsidRDefault="00F85306" w:rsidP="00F85306">
      <w:pPr>
        <w:pStyle w:val="SingleTxtG"/>
        <w:tabs>
          <w:tab w:val="left" w:pos="-1701"/>
        </w:tabs>
        <w:ind w:firstLine="567"/>
        <w:rPr>
          <w:b/>
        </w:rPr>
      </w:pPr>
      <w:r w:rsidRPr="006C5085">
        <w:rPr>
          <w:b/>
        </w:rPr>
        <w:lastRenderedPageBreak/>
        <w:t>(b)</w:t>
      </w:r>
      <w:r w:rsidRPr="006C5085">
        <w:rPr>
          <w:b/>
        </w:rPr>
        <w:tab/>
        <w:t xml:space="preserve">Protect migrant workers and migrant domestic workers </w:t>
      </w:r>
      <w:r w:rsidR="006D05B7">
        <w:rPr>
          <w:b/>
        </w:rPr>
        <w:t xml:space="preserve">from </w:t>
      </w:r>
      <w:r w:rsidRPr="006C5085">
        <w:rPr>
          <w:b/>
        </w:rPr>
        <w:t>all forms of exploitation and abuse, including through the effective implementation of the Modern Slavery Act of 2015;</w:t>
      </w:r>
    </w:p>
    <w:p w14:paraId="22EF246B" w14:textId="7D82BF94" w:rsidR="00F85306" w:rsidRPr="006C5085" w:rsidRDefault="00F85306" w:rsidP="00F85306">
      <w:pPr>
        <w:pStyle w:val="SingleTxtG"/>
        <w:tabs>
          <w:tab w:val="left" w:pos="-1701"/>
        </w:tabs>
        <w:ind w:firstLine="567"/>
        <w:rPr>
          <w:b/>
          <w:bCs/>
        </w:rPr>
      </w:pPr>
      <w:r w:rsidRPr="006C5085">
        <w:rPr>
          <w:b/>
        </w:rPr>
        <w:t>(c)</w:t>
      </w:r>
      <w:r w:rsidRPr="006C5085">
        <w:rPr>
          <w:b/>
        </w:rPr>
        <w:tab/>
        <w:t>Improve the complaint mechanisms and legal assistance provided to migrant workers</w:t>
      </w:r>
      <w:r w:rsidRPr="006C5085">
        <w:rPr>
          <w:b/>
          <w:bCs/>
        </w:rPr>
        <w:t>; and</w:t>
      </w:r>
    </w:p>
    <w:p w14:paraId="4B54E1CE" w14:textId="48A09813" w:rsidR="00F85306" w:rsidRPr="006C5085" w:rsidRDefault="00F85306" w:rsidP="00F85306">
      <w:pPr>
        <w:pStyle w:val="SingleTxtG"/>
        <w:tabs>
          <w:tab w:val="left" w:pos="-1701"/>
        </w:tabs>
        <w:ind w:firstLine="567"/>
        <w:rPr>
          <w:b/>
          <w:bCs/>
        </w:rPr>
      </w:pPr>
      <w:r w:rsidRPr="006C5085">
        <w:rPr>
          <w:b/>
          <w:bCs/>
        </w:rPr>
        <w:t>(d)</w:t>
      </w:r>
      <w:r w:rsidRPr="006C5085">
        <w:rPr>
          <w:b/>
          <w:bCs/>
        </w:rPr>
        <w:tab/>
      </w:r>
      <w:r w:rsidR="00963B2C">
        <w:rPr>
          <w:b/>
          <w:bCs/>
        </w:rPr>
        <w:t>Ensure</w:t>
      </w:r>
      <w:r w:rsidRPr="006C5085">
        <w:rPr>
          <w:b/>
          <w:bCs/>
        </w:rPr>
        <w:t xml:space="preserve"> effective inspection mechanism</w:t>
      </w:r>
      <w:r w:rsidR="00963B2C">
        <w:rPr>
          <w:b/>
          <w:bCs/>
        </w:rPr>
        <w:t>s</w:t>
      </w:r>
      <w:r w:rsidRPr="006C5085">
        <w:rPr>
          <w:b/>
          <w:bCs/>
        </w:rPr>
        <w:t xml:space="preserve"> for monitoring the conditions of work of migrant workers and migrant domestic workers.</w:t>
      </w:r>
    </w:p>
    <w:p w14:paraId="5F1E70A3" w14:textId="1BFC8FFF" w:rsidR="00444FE6" w:rsidRPr="00F932CA" w:rsidRDefault="00444FE6" w:rsidP="00F932CA">
      <w:pPr>
        <w:pStyle w:val="H23G"/>
        <w:ind w:firstLine="0"/>
      </w:pPr>
      <w:r w:rsidRPr="006C5085">
        <w:t>National minimum wage</w:t>
      </w:r>
    </w:p>
    <w:p w14:paraId="0A630B5E" w14:textId="2DA3D6C2" w:rsidR="002B13F2" w:rsidRPr="006C5085" w:rsidRDefault="00FE4CB4" w:rsidP="002B13F2">
      <w:pPr>
        <w:pStyle w:val="SingleTxtG"/>
        <w:numPr>
          <w:ilvl w:val="0"/>
          <w:numId w:val="17"/>
        </w:numPr>
        <w:tabs>
          <w:tab w:val="left" w:pos="1701"/>
        </w:tabs>
        <w:ind w:left="1134" w:firstLine="0"/>
      </w:pPr>
      <w:r w:rsidRPr="006C5085">
        <w:t xml:space="preserve">Despite the increase </w:t>
      </w:r>
      <w:r w:rsidR="00351565" w:rsidRPr="006C5085">
        <w:t>of</w:t>
      </w:r>
      <w:r w:rsidRPr="006C5085">
        <w:t xml:space="preserve"> the n</w:t>
      </w:r>
      <w:r w:rsidR="00600E8D" w:rsidRPr="006C5085">
        <w:t xml:space="preserve">ational </w:t>
      </w:r>
      <w:r w:rsidRPr="006C5085">
        <w:t>minimum w</w:t>
      </w:r>
      <w:r w:rsidR="00600E8D" w:rsidRPr="006C5085">
        <w:t xml:space="preserve">age </w:t>
      </w:r>
      <w:r w:rsidRPr="006C5085">
        <w:t xml:space="preserve">that </w:t>
      </w:r>
      <w:r w:rsidR="00600E8D" w:rsidRPr="006C5085">
        <w:t xml:space="preserve">came into effect on 1 April 2016, the Committee </w:t>
      </w:r>
      <w:r w:rsidRPr="006C5085">
        <w:t>is</w:t>
      </w:r>
      <w:r w:rsidR="00600E8D" w:rsidRPr="006C5085">
        <w:t xml:space="preserve"> concerned that </w:t>
      </w:r>
      <w:r w:rsidRPr="006C5085">
        <w:t>it is not sufficient to ensure a decent standard of living in the State party, particularly in London</w:t>
      </w:r>
      <w:r w:rsidR="00CF30B7">
        <w:t>,</w:t>
      </w:r>
      <w:r w:rsidRPr="006C5085">
        <w:t xml:space="preserve"> and it </w:t>
      </w:r>
      <w:r w:rsidR="00600E8D" w:rsidRPr="006C5085">
        <w:t xml:space="preserve">does not apply </w:t>
      </w:r>
      <w:r w:rsidR="002B13F2" w:rsidRPr="006C5085">
        <w:t>for workers under the age of 25</w:t>
      </w:r>
      <w:r w:rsidRPr="006C5085">
        <w:t xml:space="preserve"> (</w:t>
      </w:r>
      <w:r w:rsidR="00DA7839">
        <w:t>a</w:t>
      </w:r>
      <w:r w:rsidRPr="006C5085">
        <w:t>rt 7)</w:t>
      </w:r>
      <w:r w:rsidR="00444FE6" w:rsidRPr="006C5085">
        <w:t>.</w:t>
      </w:r>
    </w:p>
    <w:p w14:paraId="58A51742" w14:textId="01729198" w:rsidR="002B13F2" w:rsidRPr="006C5085" w:rsidRDefault="002B13F2" w:rsidP="002B13F2">
      <w:pPr>
        <w:pStyle w:val="SingleTxtG"/>
        <w:numPr>
          <w:ilvl w:val="0"/>
          <w:numId w:val="17"/>
        </w:numPr>
        <w:tabs>
          <w:tab w:val="left" w:pos="1701"/>
        </w:tabs>
        <w:ind w:left="1134" w:firstLine="0"/>
      </w:pPr>
      <w:r w:rsidRPr="006C5085">
        <w:rPr>
          <w:b/>
          <w:bCs/>
        </w:rPr>
        <w:t xml:space="preserve">The Committee recommends that the State party ensure that the national minimum wage is periodically </w:t>
      </w:r>
      <w:r w:rsidRPr="006C5085">
        <w:rPr>
          <w:b/>
        </w:rPr>
        <w:t>reviewed</w:t>
      </w:r>
      <w:r w:rsidRPr="006C5085">
        <w:rPr>
          <w:b/>
          <w:bCs/>
        </w:rPr>
        <w:t xml:space="preserve"> and set at a level sufficient to provide all workers and their families with a decent standard of living. It also recommends that the State part</w:t>
      </w:r>
      <w:r w:rsidR="00351565" w:rsidRPr="006C5085">
        <w:rPr>
          <w:b/>
          <w:bCs/>
        </w:rPr>
        <w:t>y</w:t>
      </w:r>
      <w:r w:rsidRPr="006C5085">
        <w:rPr>
          <w:b/>
          <w:bCs/>
        </w:rPr>
        <w:t xml:space="preserve"> extend the protection of the national minimum wage to those under the age of 25.</w:t>
      </w:r>
    </w:p>
    <w:p w14:paraId="645BC731" w14:textId="234821C7" w:rsidR="00444FE6" w:rsidRPr="00F932CA" w:rsidRDefault="00FD5016" w:rsidP="00F932CA">
      <w:pPr>
        <w:pStyle w:val="H23G"/>
        <w:ind w:firstLine="0"/>
      </w:pPr>
      <w:r w:rsidRPr="006C5085">
        <w:t xml:space="preserve">Trade </w:t>
      </w:r>
      <w:r w:rsidR="002F18DE">
        <w:t>u</w:t>
      </w:r>
      <w:r w:rsidR="002F18DE" w:rsidRPr="006C5085">
        <w:t xml:space="preserve">nion </w:t>
      </w:r>
      <w:r w:rsidR="002F18DE">
        <w:t>r</w:t>
      </w:r>
      <w:r w:rsidRPr="006C5085">
        <w:t>ights</w:t>
      </w:r>
    </w:p>
    <w:p w14:paraId="0EE01EE1" w14:textId="5EDD7FC5" w:rsidR="00FD5016" w:rsidRPr="006C5085" w:rsidRDefault="00DC1A9F" w:rsidP="00312332">
      <w:pPr>
        <w:pStyle w:val="SingleTxtG"/>
        <w:numPr>
          <w:ilvl w:val="0"/>
          <w:numId w:val="17"/>
        </w:numPr>
        <w:tabs>
          <w:tab w:val="left" w:pos="1701"/>
        </w:tabs>
        <w:ind w:left="1134" w:firstLine="0"/>
      </w:pPr>
      <w:r w:rsidRPr="006C5085">
        <w:t>The Committee notes with concern the recent adoption</w:t>
      </w:r>
      <w:r w:rsidR="00BB14F5" w:rsidRPr="006C5085">
        <w:t xml:space="preserve"> of the Trade Union Act of 2016, which has introduced procedural requirements that limit the right of workers to </w:t>
      </w:r>
      <w:r w:rsidR="0025052D" w:rsidRPr="006C5085">
        <w:t>undertake</w:t>
      </w:r>
      <w:r w:rsidR="00BB14F5" w:rsidRPr="006C5085">
        <w:t xml:space="preserve"> industrial action.</w:t>
      </w:r>
      <w:r w:rsidR="006F74DD" w:rsidRPr="006C5085">
        <w:t xml:space="preserve"> The Committee is also concerned about the shortcomings in the implementation of the Employment Relations Act of 1999 and its Regulation 2010, prohibiting blacklisting of trade union members (</w:t>
      </w:r>
      <w:r w:rsidR="00DA7839">
        <w:t>a</w:t>
      </w:r>
      <w:r w:rsidR="00326C95">
        <w:t>rt.</w:t>
      </w:r>
      <w:r w:rsidR="006F74DD" w:rsidRPr="006C5085">
        <w:t xml:space="preserve"> 8).</w:t>
      </w:r>
    </w:p>
    <w:p w14:paraId="7DA32474" w14:textId="727B8E34" w:rsidR="006F74DD" w:rsidRPr="006C5085" w:rsidRDefault="006F74DD" w:rsidP="00312332">
      <w:pPr>
        <w:pStyle w:val="SingleTxtG"/>
        <w:numPr>
          <w:ilvl w:val="0"/>
          <w:numId w:val="17"/>
        </w:numPr>
        <w:tabs>
          <w:tab w:val="left" w:pos="1701"/>
        </w:tabs>
        <w:ind w:left="1134" w:firstLine="0"/>
        <w:rPr>
          <w:b/>
        </w:rPr>
      </w:pPr>
      <w:r w:rsidRPr="006C5085">
        <w:rPr>
          <w:b/>
        </w:rPr>
        <w:t xml:space="preserve">The Committee recommends that the State party undertake a thorough review </w:t>
      </w:r>
      <w:r w:rsidR="0025052D" w:rsidRPr="006C5085">
        <w:rPr>
          <w:b/>
        </w:rPr>
        <w:t xml:space="preserve">of </w:t>
      </w:r>
      <w:r w:rsidRPr="006C5085">
        <w:rPr>
          <w:b/>
        </w:rPr>
        <w:t>the new Trade Union Act of 2016, and take all necessary measures to ensure that</w:t>
      </w:r>
      <w:r w:rsidR="005C0F8D" w:rsidRPr="006C5085">
        <w:rPr>
          <w:b/>
        </w:rPr>
        <w:t xml:space="preserve">, in line with its obligations under article 8 of the Covenant, all workers enjoy their trade union rights without undue restrictions or interference. The Committee urges the State party to take all necessary measures to ensure the effective implementation of the Employment Relations Act of 1999 and </w:t>
      </w:r>
      <w:proofErr w:type="gramStart"/>
      <w:r w:rsidR="005C0F8D" w:rsidRPr="006C5085">
        <w:rPr>
          <w:b/>
        </w:rPr>
        <w:t>its</w:t>
      </w:r>
      <w:proofErr w:type="gramEnd"/>
      <w:r w:rsidR="005C0F8D" w:rsidRPr="006C5085">
        <w:rPr>
          <w:b/>
        </w:rPr>
        <w:t xml:space="preserve"> Regulation 2010, </w:t>
      </w:r>
      <w:r w:rsidR="006D05B7">
        <w:rPr>
          <w:b/>
        </w:rPr>
        <w:t xml:space="preserve">which </w:t>
      </w:r>
      <w:r w:rsidR="005C0F8D" w:rsidRPr="006C5085">
        <w:rPr>
          <w:b/>
        </w:rPr>
        <w:t>prohibit</w:t>
      </w:r>
      <w:r w:rsidR="006D05B7">
        <w:rPr>
          <w:b/>
        </w:rPr>
        <w:t xml:space="preserve"> </w:t>
      </w:r>
      <w:r w:rsidR="005C0F8D" w:rsidRPr="006C5085">
        <w:rPr>
          <w:b/>
        </w:rPr>
        <w:t>blacklisting of trade union members</w:t>
      </w:r>
      <w:r w:rsidR="007659F9">
        <w:rPr>
          <w:b/>
        </w:rPr>
        <w:t>,</w:t>
      </w:r>
      <w:r w:rsidR="005C0F8D" w:rsidRPr="006C5085">
        <w:rPr>
          <w:b/>
        </w:rPr>
        <w:t xml:space="preserve"> and </w:t>
      </w:r>
      <w:r w:rsidR="006D05B7">
        <w:rPr>
          <w:b/>
        </w:rPr>
        <w:t xml:space="preserve">guarantee </w:t>
      </w:r>
      <w:r w:rsidR="005C0F8D" w:rsidRPr="006C5085">
        <w:rPr>
          <w:b/>
        </w:rPr>
        <w:t>that all workers that have been blacklisted have access to effective legal remedies and compensation.</w:t>
      </w:r>
    </w:p>
    <w:p w14:paraId="6C212AE6" w14:textId="090B5D20" w:rsidR="00FD5016" w:rsidRPr="00F932CA" w:rsidRDefault="00FD5016" w:rsidP="00F932CA">
      <w:pPr>
        <w:pStyle w:val="H23G"/>
        <w:ind w:firstLine="0"/>
      </w:pPr>
      <w:r w:rsidRPr="006C5085">
        <w:t>Social security</w:t>
      </w:r>
    </w:p>
    <w:p w14:paraId="1B3410ED" w14:textId="14004E66" w:rsidR="00C16D37" w:rsidRPr="006C5085" w:rsidRDefault="00A04025" w:rsidP="00B1725F">
      <w:pPr>
        <w:pStyle w:val="SingleTxtG"/>
        <w:numPr>
          <w:ilvl w:val="0"/>
          <w:numId w:val="17"/>
        </w:numPr>
        <w:tabs>
          <w:tab w:val="left" w:pos="1701"/>
        </w:tabs>
        <w:ind w:left="1134" w:firstLine="0"/>
      </w:pPr>
      <w:r w:rsidRPr="006C5085">
        <w:t>The Committee</w:t>
      </w:r>
      <w:r w:rsidR="006257B4" w:rsidRPr="006C5085">
        <w:t xml:space="preserve"> is deeply concerned </w:t>
      </w:r>
      <w:r w:rsidR="00C16D37" w:rsidRPr="006C5085">
        <w:t>about the various changes</w:t>
      </w:r>
      <w:r w:rsidR="002F18DE">
        <w:t xml:space="preserve"> in the entitlements to</w:t>
      </w:r>
      <w:r w:rsidR="00C16D37" w:rsidRPr="006C5085">
        <w:t>, and cuts in</w:t>
      </w:r>
      <w:r w:rsidR="002F18DE">
        <w:t>,</w:t>
      </w:r>
      <w:r w:rsidR="00C16D37" w:rsidRPr="006C5085">
        <w:t xml:space="preserve"> social benefits, introduced by the Welfare Reform Act 2012 and the Welfare Reform and Work Act of 2016, such as the reduction of the household benefit cap, the </w:t>
      </w:r>
      <w:r w:rsidR="00312332" w:rsidRPr="006C5085">
        <w:t>removal of the spare-room subsidy (</w:t>
      </w:r>
      <w:r w:rsidR="00C16D37" w:rsidRPr="006C5085">
        <w:t>bedroom tax</w:t>
      </w:r>
      <w:r w:rsidR="00312332" w:rsidRPr="006C5085">
        <w:t>)</w:t>
      </w:r>
      <w:r w:rsidR="00C16D37" w:rsidRPr="006C5085">
        <w:t>, the four year freeze on certain benefits</w:t>
      </w:r>
      <w:r w:rsidR="00351565" w:rsidRPr="006C5085">
        <w:t xml:space="preserve"> and</w:t>
      </w:r>
      <w:r w:rsidR="00C16D37" w:rsidRPr="006C5085">
        <w:t xml:space="preserve"> the reduction in child tax credits. The Committee is particularly concerned about the adverse impact of these changes</w:t>
      </w:r>
      <w:r w:rsidR="002F18DE">
        <w:t xml:space="preserve"> and cuts</w:t>
      </w:r>
      <w:r w:rsidR="00C16D37" w:rsidRPr="006C5085">
        <w:t xml:space="preserve"> </w:t>
      </w:r>
      <w:r w:rsidR="00D13DDD" w:rsidRPr="006C5085">
        <w:t>o</w:t>
      </w:r>
      <w:r w:rsidR="00C16D37" w:rsidRPr="006C5085">
        <w:t xml:space="preserve">n the </w:t>
      </w:r>
      <w:r w:rsidR="006257B4" w:rsidRPr="006C5085">
        <w:t>enjoyment of the right</w:t>
      </w:r>
      <w:r w:rsidR="002F18DE">
        <w:t>s</w:t>
      </w:r>
      <w:r w:rsidR="006257B4" w:rsidRPr="006C5085">
        <w:t xml:space="preserve"> to social security</w:t>
      </w:r>
      <w:r w:rsidR="00C16D37" w:rsidRPr="006C5085">
        <w:t xml:space="preserve"> and to </w:t>
      </w:r>
      <w:r w:rsidR="0025052D" w:rsidRPr="006C5085">
        <w:t xml:space="preserve">an </w:t>
      </w:r>
      <w:r w:rsidR="00C16D37" w:rsidRPr="006C5085">
        <w:t>adequate standard of l</w:t>
      </w:r>
      <w:r w:rsidR="00D13DDD" w:rsidRPr="006C5085">
        <w:t>i</w:t>
      </w:r>
      <w:r w:rsidR="00C16D37" w:rsidRPr="006C5085">
        <w:t>ving</w:t>
      </w:r>
      <w:r w:rsidR="006257B4" w:rsidRPr="006C5085">
        <w:t xml:space="preserve"> </w:t>
      </w:r>
      <w:r w:rsidR="002F18DE">
        <w:t>by</w:t>
      </w:r>
      <w:r w:rsidR="00C16D37" w:rsidRPr="006C5085">
        <w:t xml:space="preserve"> disadvantaged and marginalized individuals and groups, </w:t>
      </w:r>
      <w:r w:rsidR="00E06E91" w:rsidRPr="006C5085">
        <w:t>including</w:t>
      </w:r>
      <w:r w:rsidR="00C16D37" w:rsidRPr="006C5085">
        <w:t xml:space="preserve"> women, children, </w:t>
      </w:r>
      <w:proofErr w:type="gramStart"/>
      <w:r w:rsidR="006C5085" w:rsidRPr="006C5085">
        <w:t>persons</w:t>
      </w:r>
      <w:proofErr w:type="gramEnd"/>
      <w:r w:rsidR="00C16D37" w:rsidRPr="006C5085">
        <w:t xml:space="preserve"> with disabilities, low-income families and families with two or more children</w:t>
      </w:r>
      <w:r w:rsidR="006C5085" w:rsidRPr="006C5085">
        <w:t xml:space="preserve">. </w:t>
      </w:r>
      <w:r w:rsidR="002F18DE">
        <w:t>T</w:t>
      </w:r>
      <w:r w:rsidR="006C5085" w:rsidRPr="006C5085">
        <w:t>he Committee</w:t>
      </w:r>
      <w:r w:rsidR="002F18DE">
        <w:t xml:space="preserve"> also</w:t>
      </w:r>
      <w:r w:rsidR="006C5085" w:rsidRPr="006C5085">
        <w:t xml:space="preserve"> is concerned about the</w:t>
      </w:r>
      <w:r w:rsidR="002F18DE">
        <w:t xml:space="preserve"> extent to which the State party has made use of sanctions in relation to social security benefits and the absence of due process and access to justice for those affected by the use of sanctions</w:t>
      </w:r>
      <w:r w:rsidR="006C5085" w:rsidRPr="006C5085">
        <w:t xml:space="preserve"> </w:t>
      </w:r>
      <w:r w:rsidR="00F932CA">
        <w:t>(</w:t>
      </w:r>
      <w:r w:rsidR="00DA7839">
        <w:t>a</w:t>
      </w:r>
      <w:r w:rsidR="00326C95">
        <w:t>rt.</w:t>
      </w:r>
      <w:r w:rsidR="00F932CA">
        <w:t xml:space="preserve"> 9 and 11).</w:t>
      </w:r>
    </w:p>
    <w:p w14:paraId="7336E9A5" w14:textId="78772CB6" w:rsidR="00B1725F" w:rsidRPr="006C5085" w:rsidRDefault="00CF30B7" w:rsidP="00B1725F">
      <w:pPr>
        <w:pStyle w:val="SingleTxtG"/>
        <w:numPr>
          <w:ilvl w:val="0"/>
          <w:numId w:val="17"/>
        </w:numPr>
        <w:tabs>
          <w:tab w:val="left" w:pos="1701"/>
        </w:tabs>
        <w:ind w:left="1134" w:firstLine="0"/>
        <w:rPr>
          <w:b/>
        </w:rPr>
      </w:pPr>
      <w:r>
        <w:rPr>
          <w:b/>
        </w:rPr>
        <w:t>T</w:t>
      </w:r>
      <w:r w:rsidR="003F1600" w:rsidRPr="006C5085">
        <w:rPr>
          <w:b/>
        </w:rPr>
        <w:t xml:space="preserve">he Committee </w:t>
      </w:r>
      <w:r w:rsidR="002F18DE">
        <w:rPr>
          <w:b/>
        </w:rPr>
        <w:t>calls upon</w:t>
      </w:r>
      <w:r w:rsidR="00D9789E">
        <w:rPr>
          <w:b/>
        </w:rPr>
        <w:t xml:space="preserve"> </w:t>
      </w:r>
      <w:r w:rsidR="00B1725F" w:rsidRPr="006C5085">
        <w:rPr>
          <w:b/>
        </w:rPr>
        <w:t xml:space="preserve">the State </w:t>
      </w:r>
      <w:r w:rsidR="003F1600" w:rsidRPr="006C5085">
        <w:rPr>
          <w:b/>
        </w:rPr>
        <w:t>party</w:t>
      </w:r>
      <w:r w:rsidR="00D9789E">
        <w:rPr>
          <w:b/>
        </w:rPr>
        <w:t xml:space="preserve"> to</w:t>
      </w:r>
      <w:r w:rsidR="00B1725F" w:rsidRPr="006C5085">
        <w:rPr>
          <w:b/>
        </w:rPr>
        <w:t>:</w:t>
      </w:r>
    </w:p>
    <w:p w14:paraId="4C8931EC" w14:textId="3BC91A1B" w:rsidR="008B6D1F" w:rsidRPr="006C5085" w:rsidRDefault="002F18DE" w:rsidP="009258A7">
      <w:pPr>
        <w:pStyle w:val="SingleTxtG"/>
        <w:numPr>
          <w:ilvl w:val="0"/>
          <w:numId w:val="32"/>
        </w:numPr>
        <w:ind w:left="1134" w:firstLine="567"/>
        <w:rPr>
          <w:b/>
        </w:rPr>
      </w:pPr>
      <w:r>
        <w:rPr>
          <w:b/>
        </w:rPr>
        <w:lastRenderedPageBreak/>
        <w:t>Review the entitlement conditions and r</w:t>
      </w:r>
      <w:r w:rsidR="00B1725F" w:rsidRPr="006C5085">
        <w:rPr>
          <w:b/>
        </w:rPr>
        <w:t>ev</w:t>
      </w:r>
      <w:r w:rsidR="008B6D1F" w:rsidRPr="006C5085">
        <w:rPr>
          <w:b/>
        </w:rPr>
        <w:t xml:space="preserve">erse the cuts </w:t>
      </w:r>
      <w:r>
        <w:rPr>
          <w:b/>
        </w:rPr>
        <w:t>i</w:t>
      </w:r>
      <w:r w:rsidR="00B1725F" w:rsidRPr="006C5085">
        <w:rPr>
          <w:b/>
        </w:rPr>
        <w:t>n social</w:t>
      </w:r>
      <w:r w:rsidR="008B6D1F" w:rsidRPr="006C5085">
        <w:rPr>
          <w:b/>
        </w:rPr>
        <w:t xml:space="preserve"> security benefits </w:t>
      </w:r>
      <w:r w:rsidR="00B1725F" w:rsidRPr="006C5085">
        <w:rPr>
          <w:b/>
        </w:rPr>
        <w:t>introduced by the Welfare Reform Act 2012 and the Welfare Reform and Work Act 2016</w:t>
      </w:r>
      <w:r w:rsidR="008B6D1F" w:rsidRPr="006C5085">
        <w:rPr>
          <w:b/>
        </w:rPr>
        <w:t>;</w:t>
      </w:r>
    </w:p>
    <w:p w14:paraId="073B0AD7" w14:textId="3E9B2CCB" w:rsidR="00491967" w:rsidRPr="006C5085" w:rsidRDefault="002F18DE" w:rsidP="009258A7">
      <w:pPr>
        <w:pStyle w:val="SingleTxtG"/>
        <w:numPr>
          <w:ilvl w:val="0"/>
          <w:numId w:val="32"/>
        </w:numPr>
        <w:ind w:left="1134" w:firstLine="567"/>
        <w:rPr>
          <w:b/>
          <w:bCs/>
        </w:rPr>
      </w:pPr>
      <w:r>
        <w:rPr>
          <w:b/>
          <w:bCs/>
        </w:rPr>
        <w:t xml:space="preserve">Restore the link between the rates of state benefits and the costs of living and </w:t>
      </w:r>
      <w:r>
        <w:rPr>
          <w:rFonts w:eastAsia="Malgun Gothic"/>
          <w:b/>
        </w:rPr>
        <w:t>g</w:t>
      </w:r>
      <w:r w:rsidR="00E2603D" w:rsidRPr="006C5085">
        <w:rPr>
          <w:rFonts w:eastAsia="Malgun Gothic"/>
          <w:b/>
        </w:rPr>
        <w:t xml:space="preserve">uarantee that all social benefits provide </w:t>
      </w:r>
      <w:r w:rsidR="00491967" w:rsidRPr="006C5085">
        <w:rPr>
          <w:b/>
          <w:bCs/>
        </w:rPr>
        <w:t>a level of benefits</w:t>
      </w:r>
      <w:r>
        <w:rPr>
          <w:b/>
          <w:bCs/>
        </w:rPr>
        <w:t xml:space="preserve"> sufficient to ensure</w:t>
      </w:r>
      <w:r w:rsidR="00491967" w:rsidRPr="006C5085">
        <w:rPr>
          <w:b/>
          <w:bCs/>
        </w:rPr>
        <w:t xml:space="preserve"> </w:t>
      </w:r>
      <w:r w:rsidR="00E2603D" w:rsidRPr="006C5085">
        <w:rPr>
          <w:b/>
          <w:bCs/>
        </w:rPr>
        <w:t xml:space="preserve">an adequate standard of living, </w:t>
      </w:r>
      <w:r w:rsidR="00491967" w:rsidRPr="006C5085">
        <w:rPr>
          <w:b/>
          <w:bCs/>
        </w:rPr>
        <w:t>including access to health care, adequate housing and food</w:t>
      </w:r>
      <w:r w:rsidR="008B6D1F" w:rsidRPr="006C5085">
        <w:rPr>
          <w:b/>
          <w:bCs/>
        </w:rPr>
        <w:t>;</w:t>
      </w:r>
    </w:p>
    <w:p w14:paraId="196F88F6" w14:textId="62122B1B" w:rsidR="002F18DE" w:rsidRDefault="002F18DE" w:rsidP="009258A7">
      <w:pPr>
        <w:pStyle w:val="SingleTxtG"/>
        <w:numPr>
          <w:ilvl w:val="0"/>
          <w:numId w:val="32"/>
        </w:numPr>
        <w:ind w:left="1134" w:firstLine="567"/>
        <w:rPr>
          <w:b/>
          <w:bCs/>
        </w:rPr>
      </w:pPr>
      <w:r>
        <w:rPr>
          <w:b/>
          <w:bCs/>
        </w:rPr>
        <w:t xml:space="preserve">Review the use of sanctions in relation to social security benefits and ensure that they are used proportionately and are subject to prompt and independent dispute resolution mechanisms; </w:t>
      </w:r>
      <w:r w:rsidR="00D715F1">
        <w:rPr>
          <w:b/>
          <w:bCs/>
        </w:rPr>
        <w:t>and</w:t>
      </w:r>
    </w:p>
    <w:p w14:paraId="2692EC3E" w14:textId="3CF9B6C6" w:rsidR="00D9789E" w:rsidRDefault="002F18DE" w:rsidP="009258A7">
      <w:pPr>
        <w:pStyle w:val="SingleTxtG"/>
        <w:numPr>
          <w:ilvl w:val="0"/>
          <w:numId w:val="32"/>
        </w:numPr>
        <w:ind w:left="1134" w:firstLine="567"/>
        <w:rPr>
          <w:b/>
          <w:bCs/>
        </w:rPr>
      </w:pPr>
      <w:r>
        <w:rPr>
          <w:b/>
          <w:bCs/>
        </w:rPr>
        <w:t xml:space="preserve">Provide in its next report, disaggregated data on the impact of the reforms to social security on women, children, </w:t>
      </w:r>
      <w:proofErr w:type="gramStart"/>
      <w:r>
        <w:rPr>
          <w:b/>
          <w:bCs/>
        </w:rPr>
        <w:t>persons</w:t>
      </w:r>
      <w:proofErr w:type="gramEnd"/>
      <w:r>
        <w:rPr>
          <w:b/>
          <w:bCs/>
        </w:rPr>
        <w:t xml:space="preserve"> with disabilities, low-income families and families with two or more children</w:t>
      </w:r>
      <w:r w:rsidR="00D715F1">
        <w:rPr>
          <w:b/>
          <w:bCs/>
        </w:rPr>
        <w:t>.</w:t>
      </w:r>
    </w:p>
    <w:p w14:paraId="361E79FC" w14:textId="0B538424" w:rsidR="003F1600" w:rsidRPr="006C5085" w:rsidRDefault="00D9789E" w:rsidP="00D26D88">
      <w:pPr>
        <w:pStyle w:val="SingleTxtG"/>
        <w:numPr>
          <w:ilvl w:val="0"/>
          <w:numId w:val="17"/>
        </w:numPr>
        <w:tabs>
          <w:tab w:val="left" w:pos="1701"/>
        </w:tabs>
        <w:ind w:left="1134" w:firstLine="0"/>
        <w:rPr>
          <w:b/>
          <w:bCs/>
        </w:rPr>
      </w:pPr>
      <w:r>
        <w:rPr>
          <w:b/>
        </w:rPr>
        <w:t xml:space="preserve">The Committee draws the attention of the State party to </w:t>
      </w:r>
      <w:r w:rsidRPr="006C5085">
        <w:rPr>
          <w:b/>
        </w:rPr>
        <w:t xml:space="preserve">its General </w:t>
      </w:r>
      <w:r>
        <w:rPr>
          <w:b/>
        </w:rPr>
        <w:t>Comment</w:t>
      </w:r>
      <w:r w:rsidRPr="006C5085">
        <w:rPr>
          <w:b/>
        </w:rPr>
        <w:t xml:space="preserve"> N°19 (2007</w:t>
      </w:r>
      <w:r>
        <w:rPr>
          <w:b/>
        </w:rPr>
        <w:t>) on the right to social security.</w:t>
      </w:r>
    </w:p>
    <w:p w14:paraId="607CF9F2" w14:textId="52E5B168" w:rsidR="00EE4F72" w:rsidRPr="00F932CA" w:rsidRDefault="00C62271" w:rsidP="00F932CA">
      <w:pPr>
        <w:pStyle w:val="H23G"/>
        <w:ind w:firstLine="0"/>
      </w:pPr>
      <w:r w:rsidRPr="006C5085">
        <w:t>Child</w:t>
      </w:r>
      <w:r w:rsidR="00EE4F72" w:rsidRPr="006C5085">
        <w:t>care</w:t>
      </w:r>
    </w:p>
    <w:p w14:paraId="411544E1" w14:textId="3C2C62B0" w:rsidR="004A2B44" w:rsidRPr="006C5085" w:rsidRDefault="00C62271" w:rsidP="00C62271">
      <w:pPr>
        <w:pStyle w:val="SingleTxtG"/>
        <w:numPr>
          <w:ilvl w:val="0"/>
          <w:numId w:val="17"/>
        </w:numPr>
        <w:tabs>
          <w:tab w:val="left" w:pos="1701"/>
        </w:tabs>
        <w:ind w:left="1134" w:firstLine="0"/>
      </w:pPr>
      <w:r w:rsidRPr="006C5085">
        <w:t>Despite the recent</w:t>
      </w:r>
      <w:r w:rsidR="006D05B7">
        <w:t xml:space="preserve"> plan to</w:t>
      </w:r>
      <w:r w:rsidRPr="006C5085">
        <w:t xml:space="preserve"> increase in the provision of childcare services in England and Scotland, the </w:t>
      </w:r>
      <w:r w:rsidR="004A2B44" w:rsidRPr="006C5085">
        <w:t>Committee is concer</w:t>
      </w:r>
      <w:r w:rsidR="00774160" w:rsidRPr="006C5085">
        <w:t xml:space="preserve">ned about the limited availability and high costs of childcare </w:t>
      </w:r>
      <w:r w:rsidR="004A2B44" w:rsidRPr="006C5085">
        <w:t>in the State party</w:t>
      </w:r>
      <w:r w:rsidR="006D05B7">
        <w:t xml:space="preserve">. </w:t>
      </w:r>
      <w:r w:rsidR="00021E05">
        <w:t>T</w:t>
      </w:r>
      <w:r w:rsidR="006D05B7">
        <w:t>he Committee is also concerned that</w:t>
      </w:r>
      <w:r w:rsidR="00021E05">
        <w:t xml:space="preserve"> the present modality of shared parental leave does not </w:t>
      </w:r>
      <w:r w:rsidR="006D05B7">
        <w:t>necessarily bring an increased participation of men in childcare responsibili</w:t>
      </w:r>
      <w:r w:rsidR="00D9789E">
        <w:t>ti</w:t>
      </w:r>
      <w:r w:rsidR="006D05B7">
        <w:t>es</w:t>
      </w:r>
      <w:r w:rsidR="004A2B44" w:rsidRPr="006C5085">
        <w:t xml:space="preserve"> (</w:t>
      </w:r>
      <w:r w:rsidR="00DA7839">
        <w:t>a</w:t>
      </w:r>
      <w:r w:rsidR="00326C95">
        <w:t>rt.</w:t>
      </w:r>
      <w:r w:rsidR="004A2B44" w:rsidRPr="006C5085">
        <w:t xml:space="preserve"> 10).</w:t>
      </w:r>
    </w:p>
    <w:p w14:paraId="0C269D5A" w14:textId="0DD2CF6F" w:rsidR="00F34369" w:rsidRPr="00F932CA" w:rsidRDefault="00774160" w:rsidP="00F932CA">
      <w:pPr>
        <w:pStyle w:val="SingleTxtG"/>
        <w:numPr>
          <w:ilvl w:val="0"/>
          <w:numId w:val="17"/>
        </w:numPr>
        <w:tabs>
          <w:tab w:val="left" w:pos="1701"/>
        </w:tabs>
        <w:ind w:left="1134" w:firstLine="0"/>
        <w:rPr>
          <w:b/>
          <w:bCs/>
        </w:rPr>
      </w:pPr>
      <w:r w:rsidRPr="006C5085">
        <w:rPr>
          <w:b/>
        </w:rPr>
        <w:t>The Committee recommends that the State party</w:t>
      </w:r>
      <w:r w:rsidR="00E2603D" w:rsidRPr="006C5085">
        <w:t xml:space="preserve"> </w:t>
      </w:r>
      <w:r w:rsidRPr="006C5085">
        <w:rPr>
          <w:b/>
        </w:rPr>
        <w:t>increase its efforts to ensure the availability, accessibility and affordability of childcare services throughout the State party</w:t>
      </w:r>
      <w:r w:rsidR="006D05B7" w:rsidRPr="006D05B7">
        <w:t xml:space="preserve"> </w:t>
      </w:r>
      <w:r w:rsidR="006D05B7" w:rsidRPr="00FF067A">
        <w:rPr>
          <w:b/>
        </w:rPr>
        <w:t>particularly in Scotland and Northern Ireland</w:t>
      </w:r>
      <w:r w:rsidRPr="006C5085">
        <w:rPr>
          <w:b/>
          <w:bCs/>
        </w:rPr>
        <w:t xml:space="preserve">. </w:t>
      </w:r>
      <w:r w:rsidR="006D05B7">
        <w:rPr>
          <w:b/>
          <w:bCs/>
        </w:rPr>
        <w:t xml:space="preserve">The Committee also recommends that the State party review the system of </w:t>
      </w:r>
      <w:r w:rsidR="00021E05">
        <w:rPr>
          <w:b/>
          <w:bCs/>
        </w:rPr>
        <w:t>share</w:t>
      </w:r>
      <w:r w:rsidR="00F2663A">
        <w:rPr>
          <w:b/>
          <w:bCs/>
        </w:rPr>
        <w:t>d</w:t>
      </w:r>
      <w:r w:rsidR="00021E05">
        <w:rPr>
          <w:b/>
          <w:bCs/>
        </w:rPr>
        <w:t xml:space="preserve"> </w:t>
      </w:r>
      <w:r w:rsidR="006D05B7">
        <w:rPr>
          <w:b/>
          <w:bCs/>
        </w:rPr>
        <w:t>parental leave and modify it with a view to improve the equal sharing of responsibilities within the family and in the society.</w:t>
      </w:r>
    </w:p>
    <w:p w14:paraId="742286B0" w14:textId="6B6C9277" w:rsidR="006D05B7" w:rsidRPr="00F932CA" w:rsidRDefault="006D05B7" w:rsidP="00F932CA">
      <w:pPr>
        <w:pStyle w:val="H23G"/>
        <w:ind w:firstLine="0"/>
      </w:pPr>
      <w:r>
        <w:t>Violence against women with disabilities</w:t>
      </w:r>
    </w:p>
    <w:p w14:paraId="74AC83CA" w14:textId="2FB6737E" w:rsidR="006D05B7" w:rsidRDefault="00021E05" w:rsidP="00FF067A">
      <w:pPr>
        <w:pStyle w:val="SingleTxtG"/>
        <w:numPr>
          <w:ilvl w:val="0"/>
          <w:numId w:val="17"/>
        </w:numPr>
        <w:tabs>
          <w:tab w:val="left" w:pos="1701"/>
        </w:tabs>
        <w:ind w:left="1134" w:firstLine="0"/>
      </w:pPr>
      <w:r>
        <w:t xml:space="preserve">While </w:t>
      </w:r>
      <w:r w:rsidR="001C25DE">
        <w:t>noting the</w:t>
      </w:r>
      <w:r>
        <w:t xml:space="preserve"> adoption of a national strategy on gender-based violence in March 2016, the </w:t>
      </w:r>
      <w:r w:rsidR="006D05B7">
        <w:t xml:space="preserve">Committee </w:t>
      </w:r>
      <w:r>
        <w:t xml:space="preserve">regrets the lack of information specifying how </w:t>
      </w:r>
      <w:r w:rsidR="001C25DE">
        <w:t>it</w:t>
      </w:r>
      <w:r>
        <w:t xml:space="preserve"> effectively</w:t>
      </w:r>
      <w:r w:rsidR="006D05B7">
        <w:t xml:space="preserve"> address</w:t>
      </w:r>
      <w:r w:rsidR="001C25DE">
        <w:t>es</w:t>
      </w:r>
      <w:r w:rsidR="006D05B7">
        <w:t xml:space="preserve"> violence against women and girls with disabilities</w:t>
      </w:r>
      <w:r w:rsidR="00D9789E">
        <w:t xml:space="preserve"> (</w:t>
      </w:r>
      <w:r w:rsidR="00DA7839">
        <w:t>a</w:t>
      </w:r>
      <w:r w:rsidR="00326C95">
        <w:t>rt.</w:t>
      </w:r>
      <w:r w:rsidR="00D9789E">
        <w:t xml:space="preserve"> 10)</w:t>
      </w:r>
      <w:r w:rsidR="006D05B7">
        <w:t>.</w:t>
      </w:r>
    </w:p>
    <w:p w14:paraId="6981EDA5" w14:textId="271CB53F" w:rsidR="006D05B7" w:rsidRPr="00FF067A" w:rsidRDefault="006D05B7" w:rsidP="00FF067A">
      <w:pPr>
        <w:pStyle w:val="SingleTxtG"/>
        <w:numPr>
          <w:ilvl w:val="0"/>
          <w:numId w:val="17"/>
        </w:numPr>
        <w:tabs>
          <w:tab w:val="left" w:pos="1701"/>
        </w:tabs>
        <w:ind w:left="1134" w:firstLine="0"/>
        <w:rPr>
          <w:b/>
        </w:rPr>
      </w:pPr>
      <w:r w:rsidRPr="00FF067A">
        <w:rPr>
          <w:b/>
        </w:rPr>
        <w:t>The Committe</w:t>
      </w:r>
      <w:r w:rsidRPr="006D05B7">
        <w:t>e</w:t>
      </w:r>
      <w:r w:rsidRPr="00FF067A">
        <w:rPr>
          <w:b/>
        </w:rPr>
        <w:t xml:space="preserve"> requests the State party to include in its next periodic report, information on the</w:t>
      </w:r>
      <w:r w:rsidR="002A219C">
        <w:rPr>
          <w:b/>
        </w:rPr>
        <w:t xml:space="preserve"> impact of the implementa</w:t>
      </w:r>
      <w:r w:rsidR="001C25DE">
        <w:rPr>
          <w:b/>
        </w:rPr>
        <w:t>tion of the national strategy</w:t>
      </w:r>
      <w:r w:rsidR="00F2663A">
        <w:rPr>
          <w:b/>
        </w:rPr>
        <w:t xml:space="preserve"> on gender-based violence particularly</w:t>
      </w:r>
      <w:r w:rsidR="001C25DE">
        <w:rPr>
          <w:b/>
        </w:rPr>
        <w:t xml:space="preserve"> with regard </w:t>
      </w:r>
      <w:r w:rsidR="00F2663A">
        <w:rPr>
          <w:b/>
        </w:rPr>
        <w:t>to</w:t>
      </w:r>
      <w:r w:rsidR="00E90FAC">
        <w:rPr>
          <w:b/>
        </w:rPr>
        <w:t xml:space="preserve"> </w:t>
      </w:r>
      <w:r>
        <w:rPr>
          <w:b/>
        </w:rPr>
        <w:t>violence against women</w:t>
      </w:r>
      <w:r w:rsidR="001C25DE">
        <w:rPr>
          <w:b/>
        </w:rPr>
        <w:t xml:space="preserve"> and girls</w:t>
      </w:r>
      <w:r>
        <w:rPr>
          <w:b/>
        </w:rPr>
        <w:t xml:space="preserve"> with disabilities.</w:t>
      </w:r>
    </w:p>
    <w:p w14:paraId="2071CAD0" w14:textId="1361EC8F" w:rsidR="00EE4F72" w:rsidRPr="00F932CA" w:rsidRDefault="00EE4F72" w:rsidP="00F932CA">
      <w:pPr>
        <w:pStyle w:val="H23G"/>
        <w:ind w:firstLine="0"/>
      </w:pPr>
      <w:r w:rsidRPr="006C5085">
        <w:t>Poverty</w:t>
      </w:r>
    </w:p>
    <w:p w14:paraId="0A980813" w14:textId="1FD20166" w:rsidR="003456B9" w:rsidRPr="006C5085" w:rsidRDefault="003456B9" w:rsidP="00960935">
      <w:pPr>
        <w:pStyle w:val="SingleTxtG"/>
        <w:numPr>
          <w:ilvl w:val="0"/>
          <w:numId w:val="17"/>
        </w:numPr>
        <w:tabs>
          <w:tab w:val="left" w:pos="1701"/>
        </w:tabs>
        <w:ind w:left="1134" w:firstLine="0"/>
      </w:pPr>
      <w:r w:rsidRPr="006C5085">
        <w:t>The Committee notes with concern that certain groups of the population are</w:t>
      </w:r>
      <w:r w:rsidR="00B44CE5">
        <w:t xml:space="preserve"> more affected by</w:t>
      </w:r>
      <w:r w:rsidR="00E90FAC">
        <w:t>,</w:t>
      </w:r>
      <w:r w:rsidR="00B44CE5">
        <w:t xml:space="preserve"> or</w:t>
      </w:r>
      <w:r w:rsidRPr="006C5085">
        <w:t xml:space="preserve"> at an increased risk of</w:t>
      </w:r>
      <w:r w:rsidR="00E90FAC">
        <w:t>,</w:t>
      </w:r>
      <w:r w:rsidRPr="006C5085">
        <w:t xml:space="preserve"> poverty, in particular persons with disabilities, persons belonging to ethnic, religious or other minorities, single-parent families and families with children. The Committee notes with concern that the State party does not have a specific </w:t>
      </w:r>
      <w:r w:rsidR="00F85306" w:rsidRPr="006C5085">
        <w:t xml:space="preserve">definition </w:t>
      </w:r>
      <w:r w:rsidRPr="006C5085">
        <w:t xml:space="preserve">of poverty </w:t>
      </w:r>
      <w:r w:rsidR="00C56AF9" w:rsidRPr="006C5085">
        <w:t>and that the new Life Chances Strategy</w:t>
      </w:r>
      <w:r w:rsidR="00BD40D7">
        <w:t>, as contained in the Welfare Reform and Work Act 2016,</w:t>
      </w:r>
      <w:r w:rsidR="00C56AF9" w:rsidRPr="006C5085">
        <w:t xml:space="preserve"> has repealed the duty to meet time bound targets on child poverty</w:t>
      </w:r>
      <w:r w:rsidR="00AE5E5C">
        <w:t>,</w:t>
      </w:r>
      <w:r w:rsidR="009D19A1">
        <w:t xml:space="preserve"> which remains high</w:t>
      </w:r>
      <w:r w:rsidR="006D05B7">
        <w:t xml:space="preserve"> and is projected to increase in the future, especially in Northern Ireland</w:t>
      </w:r>
      <w:r w:rsidRPr="006C5085">
        <w:t xml:space="preserve"> (</w:t>
      </w:r>
      <w:r w:rsidR="00326C95">
        <w:t>art.</w:t>
      </w:r>
      <w:r w:rsidRPr="006C5085">
        <w:t> 11).</w:t>
      </w:r>
    </w:p>
    <w:p w14:paraId="057A719C" w14:textId="64F9BE0C" w:rsidR="003456B9" w:rsidRPr="006C5085" w:rsidRDefault="003456B9" w:rsidP="00960935">
      <w:pPr>
        <w:pStyle w:val="SingleTxtG"/>
        <w:numPr>
          <w:ilvl w:val="0"/>
          <w:numId w:val="17"/>
        </w:numPr>
        <w:tabs>
          <w:tab w:val="left" w:pos="1701"/>
        </w:tabs>
        <w:ind w:left="1134" w:firstLine="0"/>
        <w:rPr>
          <w:b/>
        </w:rPr>
      </w:pPr>
      <w:r w:rsidRPr="006C5085">
        <w:rPr>
          <w:b/>
        </w:rPr>
        <w:lastRenderedPageBreak/>
        <w:t>The Committee recommends that the State party take steps to introduce measures to guarantee targeted support to all those living in poverty or at risk of poverty, in particular</w:t>
      </w:r>
      <w:r w:rsidR="00C56AF9" w:rsidRPr="006C5085">
        <w:rPr>
          <w:b/>
        </w:rPr>
        <w:t xml:space="preserve"> persons with disabilities, persons belonging to an ethnic, religious or other minorities,</w:t>
      </w:r>
      <w:r w:rsidRPr="006C5085">
        <w:rPr>
          <w:b/>
        </w:rPr>
        <w:t xml:space="preserve"> single-parent families and families with children</w:t>
      </w:r>
      <w:r w:rsidR="00AE5E5C">
        <w:rPr>
          <w:b/>
        </w:rPr>
        <w:t xml:space="preserve"> and adopt an anti-poverty strategy in Northern Ireland</w:t>
      </w:r>
      <w:r w:rsidR="00D9789E">
        <w:rPr>
          <w:b/>
        </w:rPr>
        <w:t>.</w:t>
      </w:r>
      <w:r w:rsidR="00AE5E5C" w:rsidRPr="006C5085">
        <w:rPr>
          <w:b/>
        </w:rPr>
        <w:t xml:space="preserve"> </w:t>
      </w:r>
      <w:r w:rsidR="006C3CCF" w:rsidRPr="006C5085">
        <w:rPr>
          <w:b/>
        </w:rPr>
        <w:t>The Committee</w:t>
      </w:r>
      <w:r w:rsidR="00AE5E5C">
        <w:rPr>
          <w:b/>
        </w:rPr>
        <w:t xml:space="preserve"> also</w:t>
      </w:r>
      <w:r w:rsidR="006C3CCF" w:rsidRPr="006C5085">
        <w:rPr>
          <w:b/>
        </w:rPr>
        <w:t xml:space="preserve"> </w:t>
      </w:r>
      <w:r w:rsidR="00B44CE5">
        <w:rPr>
          <w:b/>
        </w:rPr>
        <w:t>urge</w:t>
      </w:r>
      <w:r w:rsidR="00B44CE5" w:rsidRPr="006C5085">
        <w:rPr>
          <w:b/>
        </w:rPr>
        <w:t xml:space="preserve">s </w:t>
      </w:r>
      <w:r w:rsidR="006C3CCF" w:rsidRPr="006C5085">
        <w:rPr>
          <w:b/>
        </w:rPr>
        <w:t xml:space="preserve">the State party </w:t>
      </w:r>
      <w:r w:rsidR="00B44CE5">
        <w:rPr>
          <w:b/>
        </w:rPr>
        <w:t xml:space="preserve">to </w:t>
      </w:r>
      <w:r w:rsidR="006C3CCF" w:rsidRPr="006C5085">
        <w:rPr>
          <w:b/>
        </w:rPr>
        <w:t xml:space="preserve">develop a comprehensive child poverty strategy and reinstate the targets and reporting duties on child poverty. </w:t>
      </w:r>
      <w:r w:rsidRPr="006C5085">
        <w:rPr>
          <w:b/>
        </w:rPr>
        <w:t>In that regard, the Committee draws the attention of the State party to its statement on poverty and the International Covenant on Economic, Social and Cultural Rights, adopted on 4 May 2001 (E/C.12/2001/10).</w:t>
      </w:r>
    </w:p>
    <w:p w14:paraId="68683D68" w14:textId="5BFCAF1F" w:rsidR="00EE4F72" w:rsidRPr="00F932CA" w:rsidRDefault="00435593" w:rsidP="00F932CA">
      <w:pPr>
        <w:pStyle w:val="H23G"/>
        <w:ind w:firstLine="0"/>
      </w:pPr>
      <w:r w:rsidRPr="006C5085">
        <w:t>Adequate h</w:t>
      </w:r>
      <w:r w:rsidR="00EE4F72" w:rsidRPr="006C5085">
        <w:t>ousing</w:t>
      </w:r>
    </w:p>
    <w:p w14:paraId="2163F581" w14:textId="07D70D29" w:rsidR="00960935" w:rsidRPr="006C5085" w:rsidRDefault="00960935" w:rsidP="00435593">
      <w:pPr>
        <w:pStyle w:val="SingleTxtG"/>
        <w:numPr>
          <w:ilvl w:val="0"/>
          <w:numId w:val="17"/>
        </w:numPr>
        <w:tabs>
          <w:tab w:val="left" w:pos="1701"/>
        </w:tabs>
        <w:ind w:left="1134" w:firstLine="0"/>
      </w:pPr>
      <w:r w:rsidRPr="006C5085">
        <w:t>The Committee is concerned about the persistent critical situation in terms of availability, affordability and accessibility of adequate housing in the State party</w:t>
      </w:r>
      <w:r w:rsidR="00AE5E5C">
        <w:t>,</w:t>
      </w:r>
      <w:r w:rsidR="00AE5E5C" w:rsidRPr="00AE5E5C">
        <w:t xml:space="preserve"> </w:t>
      </w:r>
      <w:r w:rsidR="00AE5E5C">
        <w:t>in part as a result of cuts in state benefits</w:t>
      </w:r>
      <w:r w:rsidRPr="006C5085">
        <w:t>. The Committee</w:t>
      </w:r>
      <w:r w:rsidR="00AE5E5C">
        <w:t xml:space="preserve"> also</w:t>
      </w:r>
      <w:r w:rsidRPr="006C5085">
        <w:t xml:space="preserve"> notes</w:t>
      </w:r>
      <w:r w:rsidR="00AE5E5C">
        <w:t xml:space="preserve"> with</w:t>
      </w:r>
      <w:r w:rsidR="00D9789E">
        <w:t xml:space="preserve"> concern</w:t>
      </w:r>
      <w:r w:rsidRPr="006C5085">
        <w:t xml:space="preserve"> that the lack of social housing has forced households to move into </w:t>
      </w:r>
      <w:r w:rsidR="00435593" w:rsidRPr="006C5085">
        <w:t xml:space="preserve">the private rental sector, which is not </w:t>
      </w:r>
      <w:r w:rsidRPr="006C5085">
        <w:t>adequate in terms of affordability, habitability, accessi</w:t>
      </w:r>
      <w:r w:rsidR="00435593" w:rsidRPr="006C5085">
        <w:t xml:space="preserve">bility and security of tenure. The Committee </w:t>
      </w:r>
      <w:r w:rsidR="00AE5E5C">
        <w:t xml:space="preserve">reiterates its previous </w:t>
      </w:r>
      <w:r w:rsidR="00435593" w:rsidRPr="006C5085">
        <w:t xml:space="preserve">concern that </w:t>
      </w:r>
      <w:r w:rsidR="009D19A1">
        <w:t xml:space="preserve">Roma, </w:t>
      </w:r>
      <w:r w:rsidR="00435593" w:rsidRPr="006C5085">
        <w:t xml:space="preserve">Gypsies and Travellers continue to face barriers in accessing </w:t>
      </w:r>
      <w:r w:rsidR="00A2133E" w:rsidRPr="006C5085">
        <w:t xml:space="preserve">adequate </w:t>
      </w:r>
      <w:r w:rsidR="00435593" w:rsidRPr="006C5085">
        <w:t xml:space="preserve">and culturally </w:t>
      </w:r>
      <w:r w:rsidR="00A2133E" w:rsidRPr="006C5085">
        <w:t>appropriate</w:t>
      </w:r>
      <w:r w:rsidR="00A2133E" w:rsidRPr="006C5085" w:rsidDel="00A2133E">
        <w:t xml:space="preserve"> </w:t>
      </w:r>
      <w:r w:rsidR="00435593" w:rsidRPr="006C5085">
        <w:t xml:space="preserve">accommodation across the State party, with adequate access to basic services, such as water and sanitation. </w:t>
      </w:r>
      <w:r w:rsidR="00381B80" w:rsidRPr="006C5085">
        <w:t xml:space="preserve">The Committee </w:t>
      </w:r>
      <w:r w:rsidR="00AE5E5C">
        <w:t xml:space="preserve">also </w:t>
      </w:r>
      <w:r w:rsidR="00381B80" w:rsidRPr="006C5085">
        <w:t>remains concerned about the persistent inequality in the access to adequate housing in North Belfast</w:t>
      </w:r>
      <w:r w:rsidR="00A36609" w:rsidRPr="006C5085">
        <w:t xml:space="preserve">, affecting in particular Catholic families </w:t>
      </w:r>
      <w:r w:rsidR="00381B80" w:rsidRPr="006C5085">
        <w:t>(</w:t>
      </w:r>
      <w:r w:rsidR="00DA7839">
        <w:t>a</w:t>
      </w:r>
      <w:r w:rsidR="00326C95">
        <w:t>rt.</w:t>
      </w:r>
      <w:r w:rsidR="00381B80" w:rsidRPr="006C5085">
        <w:t xml:space="preserve"> 11).</w:t>
      </w:r>
    </w:p>
    <w:p w14:paraId="13815C22" w14:textId="602089A7" w:rsidR="00CD709B" w:rsidRPr="006C5085" w:rsidRDefault="00960935" w:rsidP="00960935">
      <w:pPr>
        <w:pStyle w:val="SingleTxtG"/>
        <w:numPr>
          <w:ilvl w:val="0"/>
          <w:numId w:val="17"/>
        </w:numPr>
        <w:tabs>
          <w:tab w:val="left" w:pos="1701"/>
        </w:tabs>
        <w:ind w:left="1134" w:firstLine="0"/>
        <w:rPr>
          <w:b/>
        </w:rPr>
      </w:pPr>
      <w:r w:rsidRPr="006C5085">
        <w:rPr>
          <w:b/>
        </w:rPr>
        <w:t xml:space="preserve">The Committee </w:t>
      </w:r>
      <w:r w:rsidR="0026409B" w:rsidRPr="006C5085">
        <w:rPr>
          <w:b/>
        </w:rPr>
        <w:t xml:space="preserve">recalls its previous recommendation (E/C.12/GBR/CO/5, para. </w:t>
      </w:r>
      <w:r w:rsidR="00381B80" w:rsidRPr="006C5085">
        <w:rPr>
          <w:b/>
        </w:rPr>
        <w:t xml:space="preserve">29) and </w:t>
      </w:r>
      <w:r w:rsidR="00AE5E5C">
        <w:rPr>
          <w:b/>
        </w:rPr>
        <w:t xml:space="preserve">urges </w:t>
      </w:r>
      <w:r w:rsidR="00CD709B" w:rsidRPr="006C5085">
        <w:rPr>
          <w:b/>
        </w:rPr>
        <w:t>the State Party</w:t>
      </w:r>
      <w:r w:rsidR="00AE5E5C">
        <w:rPr>
          <w:b/>
        </w:rPr>
        <w:t xml:space="preserve"> to</w:t>
      </w:r>
      <w:r w:rsidR="00CD709B" w:rsidRPr="006C5085">
        <w:rPr>
          <w:b/>
        </w:rPr>
        <w:t>:</w:t>
      </w:r>
    </w:p>
    <w:p w14:paraId="0E335224" w14:textId="5B4DA881" w:rsidR="00CD709B" w:rsidRPr="006C5085" w:rsidRDefault="00CD709B" w:rsidP="00F932CA">
      <w:pPr>
        <w:pStyle w:val="SingleTxtG"/>
        <w:numPr>
          <w:ilvl w:val="0"/>
          <w:numId w:val="28"/>
        </w:numPr>
        <w:ind w:left="1134" w:firstLine="567"/>
        <w:rPr>
          <w:b/>
        </w:rPr>
      </w:pPr>
      <w:r w:rsidRPr="006C5085">
        <w:rPr>
          <w:b/>
        </w:rPr>
        <w:t>Adopt all necessary measures to address</w:t>
      </w:r>
      <w:r w:rsidR="00960935" w:rsidRPr="006C5085">
        <w:rPr>
          <w:b/>
        </w:rPr>
        <w:t xml:space="preserve"> the housing deficit by </w:t>
      </w:r>
      <w:r w:rsidRPr="006C5085">
        <w:rPr>
          <w:b/>
        </w:rPr>
        <w:t>ensuring</w:t>
      </w:r>
      <w:r w:rsidR="00960935" w:rsidRPr="006C5085">
        <w:rPr>
          <w:b/>
        </w:rPr>
        <w:t xml:space="preserve"> a sufficient supply of housing, in particular social housing</w:t>
      </w:r>
      <w:r w:rsidR="00AE5E5C">
        <w:rPr>
          <w:b/>
        </w:rPr>
        <w:t xml:space="preserve"> units</w:t>
      </w:r>
      <w:r w:rsidR="00960935" w:rsidRPr="006C5085">
        <w:rPr>
          <w:b/>
        </w:rPr>
        <w:t>, especially for the most disadvantaged and marginalized individuals and groups, including middle-and low</w:t>
      </w:r>
      <w:r w:rsidR="00960935" w:rsidRPr="006C5085">
        <w:rPr>
          <w:b/>
        </w:rPr>
        <w:noBreakHyphen/>
        <w:t>income individuals and households, young people a</w:t>
      </w:r>
      <w:r w:rsidRPr="006C5085">
        <w:rPr>
          <w:b/>
        </w:rPr>
        <w:t>nd persons with disabilities;</w:t>
      </w:r>
    </w:p>
    <w:p w14:paraId="58B817F4" w14:textId="4D4638BA" w:rsidR="00CD709B" w:rsidRDefault="00CD709B" w:rsidP="00F932CA">
      <w:pPr>
        <w:pStyle w:val="SingleTxtG"/>
        <w:numPr>
          <w:ilvl w:val="0"/>
          <w:numId w:val="28"/>
        </w:numPr>
        <w:ind w:left="1134" w:firstLine="567"/>
        <w:rPr>
          <w:b/>
        </w:rPr>
      </w:pPr>
      <w:r w:rsidRPr="006C5085">
        <w:rPr>
          <w:b/>
        </w:rPr>
        <w:t xml:space="preserve">Take specific measures to </w:t>
      </w:r>
      <w:r w:rsidR="00AE5E5C">
        <w:rPr>
          <w:b/>
        </w:rPr>
        <w:t xml:space="preserve">deal with the inability of renters in the private rental sector to pay rents on account of the limits imposed on housing allowance and to </w:t>
      </w:r>
      <w:r w:rsidR="00AE5E5C" w:rsidRPr="006C5085">
        <w:rPr>
          <w:b/>
        </w:rPr>
        <w:t xml:space="preserve"> </w:t>
      </w:r>
      <w:r w:rsidR="000E2E04" w:rsidRPr="006C5085">
        <w:rPr>
          <w:b/>
        </w:rPr>
        <w:t>effectively regulate the private rental sector, including through security of tenure protection</w:t>
      </w:r>
      <w:r w:rsidR="00C02599">
        <w:rPr>
          <w:b/>
        </w:rPr>
        <w:t xml:space="preserve"> and </w:t>
      </w:r>
      <w:r w:rsidR="000E2E04" w:rsidRPr="006C5085">
        <w:rPr>
          <w:b/>
        </w:rPr>
        <w:t>accountability mechanisms</w:t>
      </w:r>
      <w:r w:rsidRPr="006C5085">
        <w:rPr>
          <w:b/>
        </w:rPr>
        <w:t>;</w:t>
      </w:r>
    </w:p>
    <w:p w14:paraId="5FFEA08E" w14:textId="19FB0593" w:rsidR="00AE5E5C" w:rsidRPr="006C5085" w:rsidRDefault="00AE5E5C" w:rsidP="00F932CA">
      <w:pPr>
        <w:pStyle w:val="SingleTxtG"/>
        <w:numPr>
          <w:ilvl w:val="0"/>
          <w:numId w:val="28"/>
        </w:numPr>
        <w:ind w:left="1134" w:firstLine="567"/>
        <w:rPr>
          <w:b/>
        </w:rPr>
      </w:pPr>
      <w:r>
        <w:rPr>
          <w:b/>
        </w:rPr>
        <w:t xml:space="preserve">Take corrective measures to address bad housing or sub-standard </w:t>
      </w:r>
      <w:r w:rsidR="00B44CE5">
        <w:rPr>
          <w:b/>
        </w:rPr>
        <w:t>housing conditions</w:t>
      </w:r>
      <w:r>
        <w:rPr>
          <w:b/>
        </w:rPr>
        <w:t xml:space="preserve"> and inhabitability;</w:t>
      </w:r>
    </w:p>
    <w:p w14:paraId="15E8B843" w14:textId="7CA9D81E" w:rsidR="00381B80" w:rsidRPr="006C5085" w:rsidRDefault="00CD709B" w:rsidP="00F932CA">
      <w:pPr>
        <w:pStyle w:val="SingleTxtG"/>
        <w:numPr>
          <w:ilvl w:val="0"/>
          <w:numId w:val="28"/>
        </w:numPr>
        <w:ind w:left="1134" w:firstLine="567"/>
        <w:rPr>
          <w:b/>
        </w:rPr>
      </w:pPr>
      <w:r w:rsidRPr="006C5085">
        <w:rPr>
          <w:b/>
        </w:rPr>
        <w:t xml:space="preserve">Ensure adequate access to </w:t>
      </w:r>
      <w:r w:rsidR="00960935" w:rsidRPr="006C5085">
        <w:rPr>
          <w:b/>
        </w:rPr>
        <w:t>culturally appropriate</w:t>
      </w:r>
      <w:r w:rsidR="00860F6A">
        <w:rPr>
          <w:b/>
        </w:rPr>
        <w:t xml:space="preserve"> accommodation and</w:t>
      </w:r>
      <w:r w:rsidR="00960935" w:rsidRPr="006C5085">
        <w:rPr>
          <w:b/>
        </w:rPr>
        <w:t xml:space="preserve"> stopping sites for the Roma</w:t>
      </w:r>
      <w:r w:rsidR="009D19A1">
        <w:rPr>
          <w:b/>
        </w:rPr>
        <w:t xml:space="preserve">, </w:t>
      </w:r>
      <w:r w:rsidR="00960935" w:rsidRPr="006C5085">
        <w:rPr>
          <w:b/>
        </w:rPr>
        <w:t xml:space="preserve">Gypsy and </w:t>
      </w:r>
      <w:r w:rsidR="009D19A1">
        <w:rPr>
          <w:b/>
        </w:rPr>
        <w:t>Traveller</w:t>
      </w:r>
      <w:r w:rsidR="00960935" w:rsidRPr="006C5085">
        <w:rPr>
          <w:b/>
        </w:rPr>
        <w:t xml:space="preserve"> communities</w:t>
      </w:r>
      <w:r w:rsidR="00860F6A">
        <w:rPr>
          <w:b/>
        </w:rPr>
        <w:t xml:space="preserve">, as </w:t>
      </w:r>
      <w:r w:rsidR="00B223E6">
        <w:rPr>
          <w:b/>
        </w:rPr>
        <w:t>appropriate, take</w:t>
      </w:r>
      <w:r w:rsidR="00960935" w:rsidRPr="006C5085">
        <w:rPr>
          <w:b/>
        </w:rPr>
        <w:t xml:space="preserve"> steps to avoid all discrimination in the provision of </w:t>
      </w:r>
      <w:r w:rsidR="00BD40D7">
        <w:rPr>
          <w:b/>
        </w:rPr>
        <w:t xml:space="preserve"> </w:t>
      </w:r>
      <w:r w:rsidR="00B223E6">
        <w:rPr>
          <w:b/>
        </w:rPr>
        <w:t>accom</w:t>
      </w:r>
      <w:r w:rsidR="00BD40D7">
        <w:rPr>
          <w:b/>
        </w:rPr>
        <w:t>m</w:t>
      </w:r>
      <w:r w:rsidR="00B223E6">
        <w:rPr>
          <w:b/>
        </w:rPr>
        <w:t>odation</w:t>
      </w:r>
      <w:r w:rsidR="00AE5E5C">
        <w:rPr>
          <w:b/>
        </w:rPr>
        <w:t>, and to repeal the Unauthorised Encampments (Northern Ireland) Order of 2005</w:t>
      </w:r>
      <w:r w:rsidR="00381B80" w:rsidRPr="006C5085">
        <w:rPr>
          <w:b/>
        </w:rPr>
        <w:t>; and</w:t>
      </w:r>
    </w:p>
    <w:p w14:paraId="7CAAD50B" w14:textId="00BBB013" w:rsidR="00381B80" w:rsidRPr="006C5085" w:rsidRDefault="00381B80" w:rsidP="00F932CA">
      <w:pPr>
        <w:pStyle w:val="SingleTxtG"/>
        <w:numPr>
          <w:ilvl w:val="0"/>
          <w:numId w:val="28"/>
        </w:numPr>
        <w:ind w:left="1134" w:firstLine="567"/>
        <w:rPr>
          <w:b/>
        </w:rPr>
      </w:pPr>
      <w:r w:rsidRPr="006C5085">
        <w:rPr>
          <w:b/>
        </w:rPr>
        <w:t xml:space="preserve">Intensify its efforts to address the challenges to overcome persistent inequalities in housing </w:t>
      </w:r>
      <w:r w:rsidR="00AE5E5C">
        <w:rPr>
          <w:b/>
        </w:rPr>
        <w:t xml:space="preserve">for Catholic families </w:t>
      </w:r>
      <w:r w:rsidRPr="006C5085">
        <w:rPr>
          <w:b/>
        </w:rPr>
        <w:t>in North Belfast, including through meaningful participation of all actors in decision-making processes related to housing</w:t>
      </w:r>
      <w:r w:rsidR="00960935" w:rsidRPr="006C5085">
        <w:rPr>
          <w:b/>
        </w:rPr>
        <w:t>.</w:t>
      </w:r>
    </w:p>
    <w:p w14:paraId="71041492" w14:textId="1AD4E3FF" w:rsidR="00EE4F72" w:rsidRPr="00F932CA" w:rsidRDefault="00EE4F72" w:rsidP="00F932CA">
      <w:pPr>
        <w:pStyle w:val="H23G"/>
        <w:ind w:firstLine="0"/>
      </w:pPr>
      <w:r w:rsidRPr="006C5085">
        <w:t>Homelessness</w:t>
      </w:r>
    </w:p>
    <w:p w14:paraId="1A2B00AA" w14:textId="7DACB992" w:rsidR="00CD2F3E" w:rsidRPr="00AE5E5C" w:rsidRDefault="00A31877" w:rsidP="00A31877">
      <w:pPr>
        <w:pStyle w:val="SingleTxtG"/>
        <w:numPr>
          <w:ilvl w:val="0"/>
          <w:numId w:val="17"/>
        </w:numPr>
        <w:tabs>
          <w:tab w:val="left" w:pos="1701"/>
        </w:tabs>
        <w:ind w:left="1134" w:firstLine="0"/>
        <w:rPr>
          <w:bCs/>
        </w:rPr>
      </w:pPr>
      <w:r w:rsidRPr="00AE5E5C">
        <w:t xml:space="preserve">The Committee is concerned about </w:t>
      </w:r>
      <w:r w:rsidRPr="00AE5E5C">
        <w:rPr>
          <w:bCs/>
        </w:rPr>
        <w:t>the significant rise in homelessness in the State party, particularly in England</w:t>
      </w:r>
      <w:r w:rsidR="00AE5E5C">
        <w:rPr>
          <w:bCs/>
        </w:rPr>
        <w:t xml:space="preserve"> </w:t>
      </w:r>
      <w:r w:rsidR="00AE5E5C" w:rsidRPr="00F15B6A">
        <w:rPr>
          <w:bCs/>
        </w:rPr>
        <w:t xml:space="preserve">and Northern Ireland, affecting mostly single </w:t>
      </w:r>
      <w:r w:rsidR="009D19A1">
        <w:rPr>
          <w:bCs/>
        </w:rPr>
        <w:t>persons</w:t>
      </w:r>
      <w:r w:rsidR="00AE5E5C" w:rsidRPr="00F15B6A">
        <w:rPr>
          <w:bCs/>
        </w:rPr>
        <w:t>, families with children, victims of domestic violence, persons with disabilities and asylum-seekers</w:t>
      </w:r>
      <w:r w:rsidRPr="00AE5E5C">
        <w:rPr>
          <w:bCs/>
        </w:rPr>
        <w:t xml:space="preserve">. </w:t>
      </w:r>
      <w:r w:rsidR="00DF454A" w:rsidRPr="00AE5E5C">
        <w:rPr>
          <w:bCs/>
        </w:rPr>
        <w:t xml:space="preserve">The Committee also </w:t>
      </w:r>
      <w:r w:rsidRPr="00AE5E5C">
        <w:rPr>
          <w:bCs/>
        </w:rPr>
        <w:t>notes</w:t>
      </w:r>
      <w:r w:rsidR="00DF454A" w:rsidRPr="00AE5E5C">
        <w:rPr>
          <w:bCs/>
        </w:rPr>
        <w:t xml:space="preserve"> with concern</w:t>
      </w:r>
      <w:r w:rsidRPr="00AE5E5C">
        <w:rPr>
          <w:bCs/>
        </w:rPr>
        <w:t xml:space="preserve"> the adverse impact </w:t>
      </w:r>
      <w:r w:rsidR="00DF454A" w:rsidRPr="00AE5E5C">
        <w:rPr>
          <w:bCs/>
        </w:rPr>
        <w:t xml:space="preserve">that </w:t>
      </w:r>
      <w:r w:rsidRPr="00AE5E5C">
        <w:rPr>
          <w:bCs/>
        </w:rPr>
        <w:t xml:space="preserve">reforms </w:t>
      </w:r>
      <w:r w:rsidR="00F2663A">
        <w:rPr>
          <w:bCs/>
        </w:rPr>
        <w:t>in</w:t>
      </w:r>
      <w:r w:rsidR="00F2663A" w:rsidRPr="00AE5E5C">
        <w:rPr>
          <w:bCs/>
        </w:rPr>
        <w:t xml:space="preserve"> </w:t>
      </w:r>
      <w:r w:rsidRPr="00AE5E5C">
        <w:rPr>
          <w:bCs/>
        </w:rPr>
        <w:t xml:space="preserve">social security and reductions in </w:t>
      </w:r>
      <w:r w:rsidR="00BE6E1E" w:rsidRPr="00AE5E5C">
        <w:rPr>
          <w:bCs/>
        </w:rPr>
        <w:t xml:space="preserve">financial support </w:t>
      </w:r>
      <w:r w:rsidR="00BE6E1E">
        <w:rPr>
          <w:bCs/>
        </w:rPr>
        <w:t xml:space="preserve">to </w:t>
      </w:r>
      <w:r w:rsidRPr="00AE5E5C">
        <w:rPr>
          <w:bCs/>
        </w:rPr>
        <w:t>local authorit</w:t>
      </w:r>
      <w:r w:rsidR="00DF454A" w:rsidRPr="00AE5E5C">
        <w:rPr>
          <w:bCs/>
        </w:rPr>
        <w:t>ies have had on the right</w:t>
      </w:r>
      <w:r w:rsidRPr="00AE5E5C">
        <w:rPr>
          <w:bCs/>
        </w:rPr>
        <w:t xml:space="preserve"> to</w:t>
      </w:r>
      <w:r w:rsidR="00DF454A" w:rsidRPr="00AE5E5C">
        <w:rPr>
          <w:bCs/>
        </w:rPr>
        <w:t xml:space="preserve"> </w:t>
      </w:r>
      <w:r w:rsidR="00DF454A" w:rsidRPr="00AE5E5C">
        <w:rPr>
          <w:bCs/>
        </w:rPr>
        <w:lastRenderedPageBreak/>
        <w:t>adequate</w:t>
      </w:r>
      <w:r w:rsidRPr="00AE5E5C">
        <w:rPr>
          <w:bCs/>
        </w:rPr>
        <w:t xml:space="preserve"> housing</w:t>
      </w:r>
      <w:r w:rsidR="00AE5E5C">
        <w:rPr>
          <w:bCs/>
        </w:rPr>
        <w:t>, especially with regard to</w:t>
      </w:r>
      <w:r w:rsidR="009D19A1">
        <w:rPr>
          <w:bCs/>
        </w:rPr>
        <w:t xml:space="preserve"> </w:t>
      </w:r>
      <w:r w:rsidRPr="00AE5E5C">
        <w:rPr>
          <w:bCs/>
        </w:rPr>
        <w:t xml:space="preserve">the criminalization of </w:t>
      </w:r>
      <w:r w:rsidR="00E96E4F" w:rsidRPr="00AE5E5C">
        <w:rPr>
          <w:bCs/>
        </w:rPr>
        <w:t>“</w:t>
      </w:r>
      <w:r w:rsidRPr="00AE5E5C">
        <w:rPr>
          <w:bCs/>
        </w:rPr>
        <w:t>rough sleeping</w:t>
      </w:r>
      <w:r w:rsidR="00E96E4F" w:rsidRPr="00AE5E5C">
        <w:rPr>
          <w:bCs/>
        </w:rPr>
        <w:t>”</w:t>
      </w:r>
      <w:r w:rsidRPr="00AE5E5C">
        <w:rPr>
          <w:bCs/>
        </w:rPr>
        <w:t xml:space="preserve"> in the State Party</w:t>
      </w:r>
      <w:r w:rsidR="00CD2F3E" w:rsidRPr="00AE5E5C">
        <w:t xml:space="preserve"> (</w:t>
      </w:r>
      <w:r w:rsidR="00326C95">
        <w:t>art.</w:t>
      </w:r>
      <w:r w:rsidR="00CD2F3E" w:rsidRPr="00AE5E5C">
        <w:t> 11).</w:t>
      </w:r>
    </w:p>
    <w:p w14:paraId="7EC53B9E" w14:textId="6657FEB6" w:rsidR="00CD2F3E" w:rsidRPr="006C5085" w:rsidRDefault="00684973" w:rsidP="00C15F69">
      <w:pPr>
        <w:pStyle w:val="SingleTxtG"/>
        <w:numPr>
          <w:ilvl w:val="0"/>
          <w:numId w:val="17"/>
        </w:numPr>
        <w:tabs>
          <w:tab w:val="left" w:pos="1701"/>
        </w:tabs>
        <w:ind w:left="1134" w:firstLine="0"/>
        <w:rPr>
          <w:b/>
        </w:rPr>
      </w:pPr>
      <w:r w:rsidRPr="006C5085">
        <w:rPr>
          <w:rFonts w:eastAsia="SimSun"/>
          <w:b/>
          <w:lang w:eastAsia="zh-CN"/>
        </w:rPr>
        <w:t>T</w:t>
      </w:r>
      <w:r w:rsidR="00CD2F3E" w:rsidRPr="006C5085">
        <w:rPr>
          <w:rFonts w:eastAsia="SimSun"/>
          <w:b/>
          <w:lang w:eastAsia="zh-CN"/>
        </w:rPr>
        <w:t xml:space="preserve">he Committee </w:t>
      </w:r>
      <w:r w:rsidR="00AE5E5C">
        <w:rPr>
          <w:rFonts w:eastAsia="SimSun"/>
          <w:b/>
          <w:lang w:eastAsia="zh-CN"/>
        </w:rPr>
        <w:t>urges</w:t>
      </w:r>
      <w:r w:rsidR="00CD2F3E" w:rsidRPr="006C5085">
        <w:rPr>
          <w:rFonts w:eastAsia="SimSun"/>
          <w:b/>
          <w:lang w:eastAsia="zh-CN"/>
        </w:rPr>
        <w:t xml:space="preserve"> the State party </w:t>
      </w:r>
      <w:r w:rsidR="00AE5E5C">
        <w:rPr>
          <w:rFonts w:eastAsia="SimSun"/>
          <w:b/>
          <w:lang w:eastAsia="zh-CN"/>
        </w:rPr>
        <w:t>to t</w:t>
      </w:r>
      <w:r w:rsidR="00A31877" w:rsidRPr="006C5085">
        <w:rPr>
          <w:rFonts w:eastAsia="SimSun"/>
          <w:b/>
          <w:lang w:eastAsia="zh-CN"/>
        </w:rPr>
        <w:t>ake immediate measures</w:t>
      </w:r>
      <w:r w:rsidR="00AE5E5C">
        <w:rPr>
          <w:rFonts w:eastAsia="SimSun"/>
          <w:b/>
          <w:lang w:eastAsia="zh-CN"/>
        </w:rPr>
        <w:t>,</w:t>
      </w:r>
      <w:r w:rsidR="00A31877" w:rsidRPr="006C5085">
        <w:rPr>
          <w:rFonts w:eastAsia="SimSun"/>
          <w:b/>
          <w:lang w:eastAsia="zh-CN"/>
        </w:rPr>
        <w:t xml:space="preserve"> </w:t>
      </w:r>
      <w:r w:rsidR="00AE5E5C">
        <w:rPr>
          <w:rFonts w:eastAsia="SimSun"/>
          <w:b/>
          <w:lang w:eastAsia="zh-CN"/>
        </w:rPr>
        <w:t xml:space="preserve">including by allocating appropriate funds to local authorities, </w:t>
      </w:r>
      <w:r w:rsidR="00A31877" w:rsidRPr="006C5085">
        <w:rPr>
          <w:rFonts w:eastAsia="SimSun"/>
          <w:b/>
          <w:lang w:eastAsia="zh-CN"/>
        </w:rPr>
        <w:t>to reduce the exceptionally high levels of homelessness</w:t>
      </w:r>
      <w:r w:rsidR="00A40F37" w:rsidRPr="006C5085">
        <w:rPr>
          <w:rFonts w:eastAsia="SimSun"/>
          <w:b/>
          <w:lang w:eastAsia="zh-CN"/>
        </w:rPr>
        <w:t>, particularly</w:t>
      </w:r>
      <w:r w:rsidR="00A31877" w:rsidRPr="006C5085">
        <w:rPr>
          <w:rFonts w:eastAsia="SimSun"/>
          <w:b/>
          <w:lang w:eastAsia="zh-CN"/>
        </w:rPr>
        <w:t xml:space="preserve"> in England</w:t>
      </w:r>
      <w:r w:rsidR="00AE5E5C">
        <w:rPr>
          <w:rFonts w:eastAsia="SimSun"/>
          <w:b/>
          <w:lang w:eastAsia="zh-CN"/>
        </w:rPr>
        <w:t xml:space="preserve"> and Northern Ireland</w:t>
      </w:r>
      <w:r w:rsidR="00A31877" w:rsidRPr="006C5085">
        <w:rPr>
          <w:rFonts w:eastAsia="SimSun"/>
          <w:b/>
          <w:lang w:eastAsia="zh-CN"/>
        </w:rPr>
        <w:t xml:space="preserve">, </w:t>
      </w:r>
      <w:r w:rsidR="00AE5E5C">
        <w:rPr>
          <w:rFonts w:eastAsia="SimSun"/>
          <w:b/>
          <w:lang w:eastAsia="zh-CN"/>
        </w:rPr>
        <w:t>and to</w:t>
      </w:r>
      <w:r w:rsidR="00A31877" w:rsidRPr="006C5085">
        <w:rPr>
          <w:rFonts w:eastAsia="SimSun"/>
          <w:b/>
          <w:lang w:eastAsia="zh-CN"/>
        </w:rPr>
        <w:t xml:space="preserve"> </w:t>
      </w:r>
      <w:r w:rsidR="00AE5E5C" w:rsidRPr="006C5085">
        <w:rPr>
          <w:rFonts w:eastAsia="SimSun"/>
          <w:b/>
          <w:lang w:eastAsia="zh-CN"/>
        </w:rPr>
        <w:t>ensur</w:t>
      </w:r>
      <w:r w:rsidR="00AE5E5C">
        <w:rPr>
          <w:rFonts w:eastAsia="SimSun"/>
          <w:b/>
          <w:lang w:eastAsia="zh-CN"/>
        </w:rPr>
        <w:t>e</w:t>
      </w:r>
      <w:r w:rsidR="00AE5E5C" w:rsidRPr="006C5085">
        <w:rPr>
          <w:rFonts w:eastAsia="SimSun"/>
          <w:b/>
          <w:lang w:eastAsia="zh-CN"/>
        </w:rPr>
        <w:t xml:space="preserve"> </w:t>
      </w:r>
      <w:r w:rsidR="00A31877" w:rsidRPr="006C5085">
        <w:rPr>
          <w:rFonts w:eastAsia="SimSun"/>
          <w:b/>
          <w:lang w:eastAsia="zh-CN"/>
        </w:rPr>
        <w:t xml:space="preserve">adequate provision of </w:t>
      </w:r>
      <w:r w:rsidR="00A31877" w:rsidRPr="006C5085">
        <w:rPr>
          <w:b/>
        </w:rPr>
        <w:t>reception facilities, including emergency shelters, hostels and reception</w:t>
      </w:r>
      <w:r w:rsidR="00E90FAC">
        <w:rPr>
          <w:b/>
        </w:rPr>
        <w:t>, as well as</w:t>
      </w:r>
      <w:r w:rsidR="00BD40D7">
        <w:rPr>
          <w:b/>
        </w:rPr>
        <w:t xml:space="preserve"> </w:t>
      </w:r>
      <w:r w:rsidR="00A31877" w:rsidRPr="006C5085">
        <w:rPr>
          <w:b/>
        </w:rPr>
        <w:t>social rehabilitation centres</w:t>
      </w:r>
      <w:r w:rsidR="00A31877" w:rsidRPr="006C5085">
        <w:rPr>
          <w:rFonts w:eastAsia="SimSun"/>
          <w:b/>
          <w:lang w:eastAsia="zh-CN"/>
        </w:rPr>
        <w:t xml:space="preserve">. The Committee urges the State party to adopt all necessary measures to avoid the criminalization of </w:t>
      </w:r>
      <w:r w:rsidR="00A2133E">
        <w:rPr>
          <w:rFonts w:eastAsia="SimSun"/>
          <w:b/>
          <w:lang w:eastAsia="zh-CN"/>
        </w:rPr>
        <w:t>“</w:t>
      </w:r>
      <w:r w:rsidR="00A31877" w:rsidRPr="006C5085">
        <w:rPr>
          <w:rFonts w:eastAsia="SimSun"/>
          <w:b/>
          <w:lang w:eastAsia="zh-CN"/>
        </w:rPr>
        <w:t>rough sleeping</w:t>
      </w:r>
      <w:r w:rsidR="00A2133E">
        <w:rPr>
          <w:rFonts w:eastAsia="SimSun"/>
          <w:b/>
          <w:lang w:eastAsia="zh-CN"/>
        </w:rPr>
        <w:t>”</w:t>
      </w:r>
      <w:r w:rsidR="00A31877" w:rsidRPr="006C5085">
        <w:rPr>
          <w:rFonts w:eastAsia="SimSun"/>
          <w:b/>
          <w:lang w:eastAsia="zh-CN"/>
        </w:rPr>
        <w:t xml:space="preserve"> in the State Party</w:t>
      </w:r>
      <w:r w:rsidR="00A31877" w:rsidRPr="006C5085">
        <w:rPr>
          <w:b/>
        </w:rPr>
        <w:t xml:space="preserve"> </w:t>
      </w:r>
      <w:r w:rsidR="00CD2F3E" w:rsidRPr="006C5085">
        <w:rPr>
          <w:b/>
        </w:rPr>
        <w:t xml:space="preserve">and </w:t>
      </w:r>
      <w:r w:rsidR="00A31877" w:rsidRPr="006C5085">
        <w:rPr>
          <w:b/>
        </w:rPr>
        <w:t xml:space="preserve">to </w:t>
      </w:r>
      <w:r w:rsidR="00CD2F3E" w:rsidRPr="006C5085">
        <w:rPr>
          <w:b/>
        </w:rPr>
        <w:t>develop appropriate policies and programmes to facilitate the social reintegration of homeless persons.</w:t>
      </w:r>
      <w:r w:rsidRPr="006C5085">
        <w:rPr>
          <w:rFonts w:eastAsia="SimSun"/>
          <w:b/>
          <w:lang w:eastAsia="zh-CN"/>
        </w:rPr>
        <w:t xml:space="preserve"> In this respect, the Committee draws the attention of the State party to its General Comment No. 4 (1991) on the right to adequate housing.</w:t>
      </w:r>
    </w:p>
    <w:p w14:paraId="5324D76E" w14:textId="58D382E1" w:rsidR="00CD2F3E" w:rsidRPr="00F932CA" w:rsidRDefault="00CD2F3E" w:rsidP="00F932CA">
      <w:pPr>
        <w:pStyle w:val="H23G"/>
        <w:ind w:firstLine="0"/>
      </w:pPr>
      <w:r w:rsidRPr="006C5085">
        <w:t>Right to Food</w:t>
      </w:r>
    </w:p>
    <w:p w14:paraId="4769887A" w14:textId="470C2508" w:rsidR="00CD2F3E" w:rsidRPr="006C5085" w:rsidRDefault="006E2143" w:rsidP="00C15F69">
      <w:pPr>
        <w:pStyle w:val="SingleTxtG"/>
        <w:numPr>
          <w:ilvl w:val="0"/>
          <w:numId w:val="17"/>
        </w:numPr>
        <w:tabs>
          <w:tab w:val="left" w:pos="1701"/>
        </w:tabs>
        <w:ind w:left="1134" w:firstLine="0"/>
      </w:pPr>
      <w:r w:rsidRPr="006C5085">
        <w:t xml:space="preserve">The Committee is concerned about </w:t>
      </w:r>
      <w:r w:rsidR="00A2133E">
        <w:t xml:space="preserve">the </w:t>
      </w:r>
      <w:r w:rsidRPr="006C5085">
        <w:t>lack of adequate measures adopt</w:t>
      </w:r>
      <w:r w:rsidR="00C15F69" w:rsidRPr="006C5085">
        <w:t>ed by the State party to address</w:t>
      </w:r>
      <w:r w:rsidRPr="006C5085">
        <w:t xml:space="preserve"> the increasing levels of food insecurity, </w:t>
      </w:r>
      <w:r w:rsidR="00CD2F3E" w:rsidRPr="006C5085">
        <w:t>malnutrition</w:t>
      </w:r>
      <w:r w:rsidR="00C15F69" w:rsidRPr="006C5085">
        <w:t>, including obesity</w:t>
      </w:r>
      <w:r w:rsidR="00A2133E">
        <w:t>,</w:t>
      </w:r>
      <w:r w:rsidR="00CD2F3E" w:rsidRPr="006C5085">
        <w:t xml:space="preserve"> </w:t>
      </w:r>
      <w:r w:rsidRPr="006C5085">
        <w:t>and</w:t>
      </w:r>
      <w:r w:rsidR="00C15F69" w:rsidRPr="006C5085">
        <w:t xml:space="preserve"> </w:t>
      </w:r>
      <w:r w:rsidR="00A2133E">
        <w:t xml:space="preserve">the lack of adequate measures </w:t>
      </w:r>
      <w:r w:rsidR="00C15F69" w:rsidRPr="006C5085">
        <w:t>to reduce the reliance on food banks</w:t>
      </w:r>
      <w:r w:rsidR="00BE6E1E">
        <w:t xml:space="preserve">. </w:t>
      </w:r>
      <w:r w:rsidR="00170870">
        <w:t>The Committee is also concerned about the lack of adequate measures adopted to increase the rates of breastfeeding</w:t>
      </w:r>
      <w:r w:rsidR="00C15F69" w:rsidRPr="006C5085">
        <w:t xml:space="preserve"> (</w:t>
      </w:r>
      <w:r w:rsidR="00DA7839">
        <w:t>a</w:t>
      </w:r>
      <w:r w:rsidR="00326C95">
        <w:t>rt.</w:t>
      </w:r>
      <w:r w:rsidR="00C15F69" w:rsidRPr="006C5085">
        <w:t xml:space="preserve"> 12)</w:t>
      </w:r>
      <w:r w:rsidR="00F84D8A" w:rsidRPr="006C5085">
        <w:t>.</w:t>
      </w:r>
    </w:p>
    <w:p w14:paraId="52913F6C" w14:textId="6294DB26" w:rsidR="00CD2F3E" w:rsidRPr="006C5085" w:rsidRDefault="00C15F69" w:rsidP="00A86AE6">
      <w:pPr>
        <w:pStyle w:val="SingleTxtG"/>
        <w:numPr>
          <w:ilvl w:val="0"/>
          <w:numId w:val="17"/>
        </w:numPr>
        <w:tabs>
          <w:tab w:val="left" w:pos="1701"/>
        </w:tabs>
        <w:ind w:left="1134" w:firstLine="0"/>
        <w:rPr>
          <w:rFonts w:eastAsia="SimSun"/>
          <w:b/>
          <w:lang w:eastAsia="zh-CN"/>
        </w:rPr>
      </w:pPr>
      <w:r w:rsidRPr="006C5085">
        <w:rPr>
          <w:rFonts w:eastAsia="SimSun"/>
          <w:b/>
          <w:lang w:eastAsia="zh-CN"/>
        </w:rPr>
        <w:t xml:space="preserve">The Committee recommends that the State party develop a comprehensive national strategy for the protection and promotion of the right to adequate food, </w:t>
      </w:r>
      <w:r w:rsidR="000D342C" w:rsidRPr="006C5085">
        <w:rPr>
          <w:rFonts w:eastAsia="SimSun"/>
          <w:b/>
          <w:lang w:eastAsia="zh-CN"/>
        </w:rPr>
        <w:t>in order to address food insecurity in all jurisdictions of the State party and to promote healthier diets</w:t>
      </w:r>
      <w:r w:rsidRPr="006C5085">
        <w:rPr>
          <w:rFonts w:eastAsia="SimSun"/>
          <w:b/>
          <w:lang w:eastAsia="zh-CN"/>
        </w:rPr>
        <w:t xml:space="preserve">. </w:t>
      </w:r>
      <w:r w:rsidR="00170870">
        <w:rPr>
          <w:rFonts w:eastAsia="SimSun"/>
          <w:b/>
          <w:lang w:eastAsia="zh-CN"/>
        </w:rPr>
        <w:t xml:space="preserve">This should include policies in support of breastfeeding in accordance with the resolutions of the World Health Assembly, including </w:t>
      </w:r>
      <w:r w:rsidR="002A219C">
        <w:rPr>
          <w:rFonts w:eastAsia="SimSun"/>
          <w:b/>
          <w:lang w:eastAsia="zh-CN"/>
        </w:rPr>
        <w:t>through</w:t>
      </w:r>
      <w:r w:rsidR="00170870">
        <w:rPr>
          <w:rFonts w:eastAsia="SimSun"/>
          <w:b/>
          <w:lang w:eastAsia="zh-CN"/>
        </w:rPr>
        <w:t xml:space="preserve"> breastfeeding breaks or breastfeeding facilities in educational institutions and workplaces. </w:t>
      </w:r>
      <w:r w:rsidR="00E90FAC">
        <w:rPr>
          <w:b/>
        </w:rPr>
        <w:t xml:space="preserve">The Committee </w:t>
      </w:r>
      <w:r w:rsidR="000D342C" w:rsidRPr="006C5085">
        <w:rPr>
          <w:b/>
        </w:rPr>
        <w:t xml:space="preserve">also recommends that the State party introduce higher taxes on junk foods and </w:t>
      </w:r>
      <w:r w:rsidR="00A2133E">
        <w:rPr>
          <w:b/>
        </w:rPr>
        <w:t>sugary drinks</w:t>
      </w:r>
      <w:r w:rsidR="000D342C" w:rsidRPr="006C5085">
        <w:rPr>
          <w:b/>
        </w:rPr>
        <w:t xml:space="preserve"> and consider adopting strict regulations on the marketing of such products,</w:t>
      </w:r>
      <w:r w:rsidR="000D342C" w:rsidRPr="006C5085">
        <w:rPr>
          <w:b/>
          <w:bCs/>
        </w:rPr>
        <w:t xml:space="preserve"> while ensuring improved access to healthy diets. </w:t>
      </w:r>
      <w:r w:rsidRPr="006C5085">
        <w:rPr>
          <w:rFonts w:eastAsia="SimSun"/>
          <w:b/>
          <w:lang w:eastAsia="zh-CN"/>
        </w:rPr>
        <w:t>The Committee refers the State party to its general comment No. 12 (1999) on the right to adequate food and the Voluntary Guidelines to support the progressive realization of the right to adequate food in the context of national food security, adopted by the United Nations Food and Agriculture Organization</w:t>
      </w:r>
      <w:r w:rsidR="00170870">
        <w:rPr>
          <w:rFonts w:eastAsia="SimSun"/>
          <w:b/>
          <w:lang w:eastAsia="zh-CN"/>
        </w:rPr>
        <w:t>, as well as to the International Code for Marketing of Breast-milk Substitutes</w:t>
      </w:r>
      <w:r w:rsidRPr="006C5085">
        <w:rPr>
          <w:rFonts w:eastAsia="SimSun"/>
          <w:b/>
          <w:lang w:eastAsia="zh-CN"/>
        </w:rPr>
        <w:t>.</w:t>
      </w:r>
    </w:p>
    <w:p w14:paraId="1BA9B252" w14:textId="03A826B6" w:rsidR="00616193" w:rsidRPr="00F932CA" w:rsidRDefault="00616193" w:rsidP="00F932CA">
      <w:pPr>
        <w:pStyle w:val="H23G"/>
        <w:ind w:firstLine="0"/>
      </w:pPr>
      <w:r w:rsidRPr="00F932CA">
        <w:t>Access to health</w:t>
      </w:r>
    </w:p>
    <w:p w14:paraId="559855FB" w14:textId="02441979" w:rsidR="00A31877" w:rsidRPr="006C5085" w:rsidRDefault="00A31877" w:rsidP="00616193">
      <w:pPr>
        <w:pStyle w:val="SingleTxtG"/>
        <w:numPr>
          <w:ilvl w:val="0"/>
          <w:numId w:val="17"/>
        </w:numPr>
        <w:tabs>
          <w:tab w:val="left" w:pos="1701"/>
        </w:tabs>
        <w:ind w:left="1134" w:firstLine="0"/>
        <w:rPr>
          <w:rFonts w:eastAsia="SimSun"/>
          <w:lang w:eastAsia="zh-CN"/>
        </w:rPr>
      </w:pPr>
      <w:r w:rsidRPr="006C5085">
        <w:rPr>
          <w:rFonts w:eastAsia="SimSun"/>
          <w:lang w:eastAsia="zh-CN"/>
        </w:rPr>
        <w:t xml:space="preserve">The </w:t>
      </w:r>
      <w:r w:rsidRPr="006C5085">
        <w:t>Committee</w:t>
      </w:r>
      <w:r w:rsidRPr="006C5085">
        <w:rPr>
          <w:rFonts w:eastAsia="SimSun"/>
          <w:lang w:eastAsia="zh-CN"/>
        </w:rPr>
        <w:t xml:space="preserve"> is concerned </w:t>
      </w:r>
      <w:r w:rsidR="00616193" w:rsidRPr="006C5085">
        <w:rPr>
          <w:rFonts w:eastAsia="SimSun"/>
          <w:lang w:eastAsia="zh-CN"/>
        </w:rPr>
        <w:t xml:space="preserve">that refugees, asylum-seekers </w:t>
      </w:r>
      <w:r w:rsidR="00C20C2F" w:rsidRPr="006C5085">
        <w:rPr>
          <w:rFonts w:eastAsia="SimSun"/>
          <w:lang w:eastAsia="zh-CN"/>
        </w:rPr>
        <w:t xml:space="preserve">and refused asylum-seekers, as well as </w:t>
      </w:r>
      <w:r w:rsidR="00A20656">
        <w:rPr>
          <w:rFonts w:eastAsia="SimSun"/>
          <w:lang w:eastAsia="zh-CN"/>
        </w:rPr>
        <w:t>Roma</w:t>
      </w:r>
      <w:r w:rsidR="009D19A1">
        <w:rPr>
          <w:rFonts w:eastAsia="SimSun"/>
          <w:lang w:eastAsia="zh-CN"/>
        </w:rPr>
        <w:t>, Gypsies</w:t>
      </w:r>
      <w:r w:rsidR="00C20C2F" w:rsidRPr="006C5085">
        <w:rPr>
          <w:rFonts w:eastAsia="SimSun"/>
          <w:lang w:eastAsia="zh-CN"/>
        </w:rPr>
        <w:t xml:space="preserve"> and Travellers continue to </w:t>
      </w:r>
      <w:r w:rsidR="00616193" w:rsidRPr="006C5085">
        <w:rPr>
          <w:rFonts w:eastAsia="SimSun"/>
          <w:lang w:eastAsia="zh-CN"/>
        </w:rPr>
        <w:t xml:space="preserve">face discrimination in </w:t>
      </w:r>
      <w:r w:rsidR="00C20C2F" w:rsidRPr="006C5085">
        <w:rPr>
          <w:rFonts w:eastAsia="SimSun"/>
          <w:lang w:eastAsia="zh-CN"/>
        </w:rPr>
        <w:t xml:space="preserve">accessing </w:t>
      </w:r>
      <w:r w:rsidR="00616193" w:rsidRPr="006C5085">
        <w:rPr>
          <w:rFonts w:eastAsia="SimSun"/>
          <w:lang w:eastAsia="zh-CN"/>
        </w:rPr>
        <w:t>health care</w:t>
      </w:r>
      <w:r w:rsidR="00C20C2F" w:rsidRPr="006C5085">
        <w:rPr>
          <w:rFonts w:eastAsia="SimSun"/>
          <w:lang w:eastAsia="zh-CN"/>
        </w:rPr>
        <w:t xml:space="preserve"> services</w:t>
      </w:r>
      <w:r w:rsidR="00616193" w:rsidRPr="006C5085">
        <w:rPr>
          <w:rFonts w:eastAsia="SimSun"/>
          <w:lang w:eastAsia="zh-CN"/>
        </w:rPr>
        <w:t xml:space="preserve">. The Committee notes that the Immigration Act of 2014 has </w:t>
      </w:r>
      <w:r w:rsidR="00DF454A" w:rsidRPr="006C5085">
        <w:rPr>
          <w:rFonts w:eastAsia="SimSun"/>
          <w:lang w:eastAsia="zh-CN"/>
        </w:rPr>
        <w:t xml:space="preserve">further restricted </w:t>
      </w:r>
      <w:r w:rsidR="00616193" w:rsidRPr="006C5085">
        <w:rPr>
          <w:rFonts w:eastAsia="SimSun"/>
          <w:lang w:eastAsia="zh-CN"/>
        </w:rPr>
        <w:t>the access to health services</w:t>
      </w:r>
      <w:r w:rsidR="00C20C2F" w:rsidRPr="006C5085">
        <w:rPr>
          <w:rFonts w:eastAsia="SimSun"/>
          <w:lang w:eastAsia="zh-CN"/>
        </w:rPr>
        <w:t xml:space="preserve"> for</w:t>
      </w:r>
      <w:r w:rsidR="00616193" w:rsidRPr="006C5085">
        <w:rPr>
          <w:rFonts w:eastAsia="SimSun"/>
          <w:lang w:eastAsia="zh-CN"/>
        </w:rPr>
        <w:t xml:space="preserve"> temporary migrants and undocumented migrants</w:t>
      </w:r>
      <w:r w:rsidRPr="006C5085">
        <w:rPr>
          <w:rFonts w:eastAsia="SimSun"/>
          <w:lang w:eastAsia="zh-CN"/>
        </w:rPr>
        <w:t xml:space="preserve"> (</w:t>
      </w:r>
      <w:r w:rsidR="00DA7839">
        <w:rPr>
          <w:rFonts w:eastAsia="SimSun"/>
          <w:lang w:eastAsia="zh-CN"/>
        </w:rPr>
        <w:t>a</w:t>
      </w:r>
      <w:r w:rsidR="00326C95">
        <w:rPr>
          <w:rFonts w:eastAsia="SimSun"/>
          <w:lang w:eastAsia="zh-CN"/>
        </w:rPr>
        <w:t>rt.</w:t>
      </w:r>
      <w:r w:rsidRPr="006C5085">
        <w:rPr>
          <w:rFonts w:eastAsia="SimSun"/>
          <w:lang w:eastAsia="zh-CN"/>
        </w:rPr>
        <w:t> 12).</w:t>
      </w:r>
    </w:p>
    <w:p w14:paraId="50274EF5" w14:textId="553D7F5F" w:rsidR="00A31877" w:rsidRPr="006C5085" w:rsidRDefault="00A31877" w:rsidP="00C20C2F">
      <w:pPr>
        <w:pStyle w:val="SingleTxtG"/>
        <w:numPr>
          <w:ilvl w:val="0"/>
          <w:numId w:val="17"/>
        </w:numPr>
        <w:tabs>
          <w:tab w:val="left" w:pos="1701"/>
        </w:tabs>
        <w:ind w:left="1134" w:firstLine="0"/>
        <w:rPr>
          <w:rFonts w:eastAsia="SimSun"/>
          <w:b/>
          <w:lang w:eastAsia="zh-CN"/>
        </w:rPr>
      </w:pPr>
      <w:r w:rsidRPr="006C5085">
        <w:rPr>
          <w:rFonts w:eastAsia="SimSun"/>
          <w:b/>
          <w:lang w:eastAsia="zh-CN"/>
        </w:rPr>
        <w:t xml:space="preserve">The Committee recommends that the State party take steps to ensure that </w:t>
      </w:r>
      <w:r w:rsidR="00A20656">
        <w:rPr>
          <w:rFonts w:eastAsia="SimSun"/>
          <w:b/>
          <w:lang w:eastAsia="zh-CN"/>
        </w:rPr>
        <w:t>temporary</w:t>
      </w:r>
      <w:r w:rsidR="00A20656" w:rsidRPr="006C5085">
        <w:rPr>
          <w:rFonts w:eastAsia="SimSun"/>
          <w:b/>
          <w:lang w:eastAsia="zh-CN"/>
        </w:rPr>
        <w:t xml:space="preserve"> </w:t>
      </w:r>
      <w:r w:rsidRPr="006C5085">
        <w:rPr>
          <w:rFonts w:eastAsia="SimSun"/>
          <w:b/>
          <w:lang w:eastAsia="zh-CN"/>
        </w:rPr>
        <w:t>migrants</w:t>
      </w:r>
      <w:r w:rsidR="00A20656">
        <w:rPr>
          <w:rFonts w:eastAsia="SimSun"/>
          <w:b/>
          <w:lang w:eastAsia="zh-CN"/>
        </w:rPr>
        <w:t xml:space="preserve"> and undocumented migrants</w:t>
      </w:r>
      <w:r w:rsidRPr="006C5085">
        <w:rPr>
          <w:rFonts w:eastAsia="SimSun"/>
          <w:b/>
          <w:lang w:eastAsia="zh-CN"/>
        </w:rPr>
        <w:t>, asylum seekers</w:t>
      </w:r>
      <w:r w:rsidR="00C20C2F" w:rsidRPr="006C5085">
        <w:rPr>
          <w:rFonts w:eastAsia="SimSun"/>
          <w:b/>
          <w:lang w:eastAsia="zh-CN"/>
        </w:rPr>
        <w:t>, refused asylum seekers,</w:t>
      </w:r>
      <w:r w:rsidRPr="006C5085">
        <w:rPr>
          <w:rFonts w:eastAsia="SimSun"/>
          <w:b/>
          <w:lang w:eastAsia="zh-CN"/>
        </w:rPr>
        <w:t xml:space="preserve"> refugees</w:t>
      </w:r>
      <w:r w:rsidR="00C20C2F" w:rsidRPr="006C5085">
        <w:rPr>
          <w:rFonts w:eastAsia="SimSun"/>
          <w:b/>
          <w:lang w:eastAsia="zh-CN"/>
        </w:rPr>
        <w:t xml:space="preserve"> and </w:t>
      </w:r>
      <w:r w:rsidR="00A20656">
        <w:rPr>
          <w:rFonts w:eastAsia="SimSun"/>
          <w:b/>
          <w:lang w:eastAsia="zh-CN"/>
        </w:rPr>
        <w:t>Roma</w:t>
      </w:r>
      <w:r w:rsidR="009D19A1">
        <w:rPr>
          <w:rFonts w:eastAsia="SimSun"/>
          <w:b/>
          <w:lang w:eastAsia="zh-CN"/>
        </w:rPr>
        <w:t>, Gypsies</w:t>
      </w:r>
      <w:r w:rsidR="00C20C2F" w:rsidRPr="006C5085">
        <w:rPr>
          <w:rFonts w:eastAsia="SimSun"/>
          <w:b/>
          <w:lang w:eastAsia="zh-CN"/>
        </w:rPr>
        <w:t xml:space="preserve"> and Travellers,</w:t>
      </w:r>
      <w:r w:rsidRPr="006C5085">
        <w:rPr>
          <w:rFonts w:eastAsia="SimSun"/>
          <w:b/>
          <w:lang w:eastAsia="zh-CN"/>
        </w:rPr>
        <w:t xml:space="preserve"> have access to all necessary health-care services, and reminds the State party that health facilities, goods and services should be accessible to everyone without discrimination, in line with article 12 of the Covenant. The Committee draws the State party’s attention to its general comment No. 14 (2000) on the right to the highest attainable standard of health.</w:t>
      </w:r>
    </w:p>
    <w:p w14:paraId="60508A0D" w14:textId="0991E4D1" w:rsidR="00EE4F72" w:rsidRPr="00F932CA" w:rsidRDefault="00EE4F72" w:rsidP="00F932CA">
      <w:pPr>
        <w:pStyle w:val="H23G"/>
        <w:ind w:firstLine="0"/>
      </w:pPr>
      <w:r w:rsidRPr="006C5085">
        <w:lastRenderedPageBreak/>
        <w:t>Mental Health</w:t>
      </w:r>
    </w:p>
    <w:p w14:paraId="6AF8AAC4" w14:textId="58A9A238" w:rsidR="00D80DC3" w:rsidRPr="006C5085" w:rsidRDefault="00C20C2F" w:rsidP="00E6376C">
      <w:pPr>
        <w:pStyle w:val="SingleTxtG"/>
        <w:numPr>
          <w:ilvl w:val="0"/>
          <w:numId w:val="17"/>
        </w:numPr>
        <w:tabs>
          <w:tab w:val="left" w:pos="1701"/>
        </w:tabs>
        <w:ind w:left="1134" w:firstLine="0"/>
      </w:pPr>
      <w:r w:rsidRPr="006C5085">
        <w:t>Despite the legal duty introduced by the Health and Social Care Act of 2012 to deliver “parity of esteem” between mental and physical health, the Committee is concerned abou</w:t>
      </w:r>
      <w:r w:rsidR="00D80DC3" w:rsidRPr="006C5085">
        <w:t>t the lack of adequate resources provided to mental health services. The Committee notes with concern the information on shortcomings in the implementation of the mental health legislation and the lack of adequate mental health care provided to persons in detention (</w:t>
      </w:r>
      <w:r w:rsidR="00DA7839">
        <w:t>a</w:t>
      </w:r>
      <w:r w:rsidR="00D80DC3" w:rsidRPr="006C5085">
        <w:t>rt 12).</w:t>
      </w:r>
    </w:p>
    <w:p w14:paraId="678FB2AF" w14:textId="7EC124D8" w:rsidR="00D80DC3" w:rsidRPr="006C5085" w:rsidRDefault="00D80DC3" w:rsidP="00D80DC3">
      <w:pPr>
        <w:pStyle w:val="SingleTxtG"/>
        <w:numPr>
          <w:ilvl w:val="0"/>
          <w:numId w:val="17"/>
        </w:numPr>
        <w:tabs>
          <w:tab w:val="left" w:pos="1701"/>
        </w:tabs>
        <w:ind w:left="1134" w:firstLine="0"/>
        <w:rPr>
          <w:rFonts w:eastAsia="SimSun"/>
          <w:b/>
          <w:lang w:eastAsia="zh-CN"/>
        </w:rPr>
      </w:pPr>
      <w:r w:rsidRPr="006C5085">
        <w:rPr>
          <w:rFonts w:eastAsia="SimSun"/>
          <w:b/>
          <w:lang w:eastAsia="zh-CN"/>
        </w:rPr>
        <w:t xml:space="preserve">The Committee recommends that the State party ensure the effective implementation of the duty introduced by the Health and Social Care Act of 2012 and allocate sufficient resources to the mental health sector. The Committee urges the State party to continue its efforts to guarantee the effective implementation of the mental health legislations in all jurisdictions of the State party and to ensure the accessibility, availability and quality of mental health care, </w:t>
      </w:r>
      <w:r w:rsidR="00E96E4F" w:rsidRPr="006C5085">
        <w:rPr>
          <w:rFonts w:eastAsia="SimSun"/>
          <w:b/>
          <w:lang w:eastAsia="zh-CN"/>
        </w:rPr>
        <w:t xml:space="preserve">including </w:t>
      </w:r>
      <w:r w:rsidRPr="006C5085">
        <w:rPr>
          <w:rFonts w:eastAsia="SimSun"/>
          <w:b/>
          <w:lang w:eastAsia="zh-CN"/>
        </w:rPr>
        <w:t>for persons in detention.</w:t>
      </w:r>
    </w:p>
    <w:p w14:paraId="454F938F" w14:textId="52AF5EE4" w:rsidR="00E6376C" w:rsidRPr="006C5085" w:rsidRDefault="00EE4F72" w:rsidP="00F932CA">
      <w:pPr>
        <w:pStyle w:val="H23G"/>
        <w:ind w:firstLine="0"/>
      </w:pPr>
      <w:r w:rsidRPr="006C5085">
        <w:t>Social care for older persons</w:t>
      </w:r>
    </w:p>
    <w:p w14:paraId="228B25AA" w14:textId="7AF83EA7" w:rsidR="00E6376C" w:rsidRPr="006C5085" w:rsidRDefault="006B73CB" w:rsidP="0041379E">
      <w:pPr>
        <w:pStyle w:val="SingleTxtG"/>
        <w:numPr>
          <w:ilvl w:val="0"/>
          <w:numId w:val="17"/>
        </w:numPr>
        <w:tabs>
          <w:tab w:val="left" w:pos="1701"/>
        </w:tabs>
        <w:ind w:left="1134" w:firstLine="0"/>
      </w:pPr>
      <w:r w:rsidRPr="006C5085">
        <w:t>The Committee remains concerned about reports of persistent se</w:t>
      </w:r>
      <w:r w:rsidR="00E6376C" w:rsidRPr="006C5085">
        <w:t>rious shortcomin</w:t>
      </w:r>
      <w:r w:rsidRPr="006C5085">
        <w:t xml:space="preserve">gs in the care and treatment of </w:t>
      </w:r>
      <w:r w:rsidR="00E6376C" w:rsidRPr="006C5085">
        <w:t>older pe</w:t>
      </w:r>
      <w:r w:rsidR="00E96E4F" w:rsidRPr="006C5085">
        <w:t>rsons</w:t>
      </w:r>
      <w:r w:rsidR="00E6376C" w:rsidRPr="006C5085">
        <w:t xml:space="preserve">, including </w:t>
      </w:r>
      <w:r w:rsidR="00E96E4F" w:rsidRPr="006C5085">
        <w:t xml:space="preserve">those </w:t>
      </w:r>
      <w:r w:rsidR="00E6376C" w:rsidRPr="006C5085">
        <w:t>with dementia</w:t>
      </w:r>
      <w:r w:rsidR="00A2133E">
        <w:t xml:space="preserve">. The Committee is also concerned </w:t>
      </w:r>
      <w:r w:rsidR="001A5501">
        <w:t xml:space="preserve">about reports </w:t>
      </w:r>
      <w:r w:rsidR="001A5501" w:rsidRPr="00A2133E">
        <w:t xml:space="preserve">that </w:t>
      </w:r>
      <w:r w:rsidR="00A2133E">
        <w:t>relate the</w:t>
      </w:r>
      <w:r w:rsidR="00A2133E" w:rsidRPr="00A2133E">
        <w:t xml:space="preserve"> </w:t>
      </w:r>
      <w:r w:rsidR="001A5501" w:rsidRPr="00A2133E">
        <w:t xml:space="preserve">increase of mortality of </w:t>
      </w:r>
      <w:r w:rsidR="009D19A1" w:rsidRPr="00A2133E">
        <w:t xml:space="preserve">older persons </w:t>
      </w:r>
      <w:r w:rsidR="001A5501" w:rsidRPr="00A2133E">
        <w:t xml:space="preserve">with the reduction </w:t>
      </w:r>
      <w:r w:rsidR="0041379E" w:rsidRPr="00A2133E">
        <w:t>of</w:t>
      </w:r>
      <w:r w:rsidR="001A5501" w:rsidRPr="00A2133E">
        <w:t xml:space="preserve"> pension</w:t>
      </w:r>
      <w:r w:rsidR="00A2133E">
        <w:t xml:space="preserve"> benefits </w:t>
      </w:r>
      <w:r w:rsidR="00F84D8A" w:rsidRPr="006C5085">
        <w:t>(</w:t>
      </w:r>
      <w:r w:rsidR="00DA7839">
        <w:t>a</w:t>
      </w:r>
      <w:r w:rsidR="00326C95">
        <w:t>rt.</w:t>
      </w:r>
      <w:r w:rsidR="00F84D8A" w:rsidRPr="006C5085">
        <w:t xml:space="preserve"> 12)</w:t>
      </w:r>
      <w:r w:rsidRPr="006C5085">
        <w:t>.</w:t>
      </w:r>
    </w:p>
    <w:p w14:paraId="798B996B" w14:textId="31A257FC" w:rsidR="006B73CB" w:rsidRPr="006C5085" w:rsidRDefault="006B73CB" w:rsidP="004746DF">
      <w:pPr>
        <w:pStyle w:val="SingleTxtG"/>
        <w:numPr>
          <w:ilvl w:val="0"/>
          <w:numId w:val="17"/>
        </w:numPr>
        <w:tabs>
          <w:tab w:val="left" w:pos="1701"/>
        </w:tabs>
        <w:ind w:left="1134" w:firstLine="0"/>
        <w:rPr>
          <w:b/>
        </w:rPr>
      </w:pPr>
      <w:r w:rsidRPr="006C5085">
        <w:rPr>
          <w:b/>
        </w:rPr>
        <w:t>The Committee reiterates its previous recommendation (E/C.12/GBR/CO/5, para</w:t>
      </w:r>
      <w:r w:rsidR="00023BBF" w:rsidRPr="006C5085">
        <w:rPr>
          <w:b/>
        </w:rPr>
        <w:t>.</w:t>
      </w:r>
      <w:r w:rsidRPr="006C5085">
        <w:rPr>
          <w:b/>
        </w:rPr>
        <w:t xml:space="preserve"> 34)</w:t>
      </w:r>
      <w:r w:rsidR="00023BBF" w:rsidRPr="006C5085">
        <w:rPr>
          <w:b/>
        </w:rPr>
        <w:t xml:space="preserve"> and urges the State party to take all necessary measures to ensure adequate </w:t>
      </w:r>
      <w:r w:rsidR="001A5501">
        <w:rPr>
          <w:b/>
        </w:rPr>
        <w:t>pension</w:t>
      </w:r>
      <w:r w:rsidR="00170870">
        <w:rPr>
          <w:b/>
        </w:rPr>
        <w:t xml:space="preserve"> benefits</w:t>
      </w:r>
      <w:r w:rsidR="001A5501">
        <w:rPr>
          <w:b/>
        </w:rPr>
        <w:t xml:space="preserve">, </w:t>
      </w:r>
      <w:r w:rsidR="00023BBF" w:rsidRPr="006C5085">
        <w:rPr>
          <w:b/>
        </w:rPr>
        <w:t>care and treatment of older people, including by carrying out training programmes for doctors and health care professionals about the rights of older persons and the treatment of dementia and Alzheimer’s diseases.</w:t>
      </w:r>
    </w:p>
    <w:p w14:paraId="205B9D87" w14:textId="3C16262E" w:rsidR="00EE4F72" w:rsidRPr="00F932CA" w:rsidRDefault="009959C4" w:rsidP="00F932CA">
      <w:pPr>
        <w:pStyle w:val="H23G"/>
        <w:ind w:firstLine="0"/>
      </w:pPr>
      <w:r w:rsidRPr="006C5085">
        <w:t>Termination of pregnancy</w:t>
      </w:r>
    </w:p>
    <w:p w14:paraId="4722B1ED" w14:textId="38C37F10" w:rsidR="009959C4" w:rsidRPr="006C5085" w:rsidRDefault="00023BBF" w:rsidP="004746DF">
      <w:pPr>
        <w:pStyle w:val="SingleTxtG"/>
        <w:numPr>
          <w:ilvl w:val="0"/>
          <w:numId w:val="17"/>
        </w:numPr>
        <w:tabs>
          <w:tab w:val="left" w:pos="1701"/>
        </w:tabs>
        <w:ind w:left="1134" w:firstLine="0"/>
      </w:pPr>
      <w:r w:rsidRPr="006C5085">
        <w:t xml:space="preserve">The Committee </w:t>
      </w:r>
      <w:r w:rsidR="00A36609" w:rsidRPr="006C5085">
        <w:t xml:space="preserve">is concerned </w:t>
      </w:r>
      <w:r w:rsidRPr="006C5085">
        <w:t xml:space="preserve">that termination of pregnancy in Northern Ireland </w:t>
      </w:r>
      <w:r w:rsidR="009959C4" w:rsidRPr="006C5085">
        <w:t xml:space="preserve">is still criminalized in all circumstances, except when the life of the woman is in danger </w:t>
      </w:r>
      <w:r w:rsidR="009D19A1">
        <w:t>which could lead to unsafe abortions and</w:t>
      </w:r>
      <w:r w:rsidR="00E90FAC">
        <w:t xml:space="preserve"> is</w:t>
      </w:r>
      <w:r w:rsidR="009D19A1">
        <w:t xml:space="preserve"> disproportionately affect</w:t>
      </w:r>
      <w:r w:rsidR="00E4538E">
        <w:t xml:space="preserve">ing women from low-income families who cannot travel to other parts of the United Kingdom </w:t>
      </w:r>
      <w:r w:rsidRPr="006C5085">
        <w:t>(</w:t>
      </w:r>
      <w:r w:rsidR="00DA7839">
        <w:t>a</w:t>
      </w:r>
      <w:r w:rsidR="00326C95">
        <w:t>rt.</w:t>
      </w:r>
      <w:r w:rsidRPr="006C5085">
        <w:t xml:space="preserve"> 12)</w:t>
      </w:r>
      <w:r w:rsidR="009959C4" w:rsidRPr="006C5085">
        <w:t>.</w:t>
      </w:r>
    </w:p>
    <w:p w14:paraId="53E3C91B" w14:textId="3E58BE13" w:rsidR="00EE4F72" w:rsidRPr="006C5085" w:rsidRDefault="00F85306" w:rsidP="00E16B8A">
      <w:pPr>
        <w:pStyle w:val="SingleTxtG"/>
        <w:numPr>
          <w:ilvl w:val="0"/>
          <w:numId w:val="17"/>
        </w:numPr>
        <w:tabs>
          <w:tab w:val="left" w:pos="1701"/>
        </w:tabs>
        <w:ind w:left="1134" w:firstLine="0"/>
        <w:rPr>
          <w:b/>
        </w:rPr>
      </w:pPr>
      <w:r w:rsidRPr="006C5085">
        <w:rPr>
          <w:b/>
        </w:rPr>
        <w:t>T</w:t>
      </w:r>
      <w:r w:rsidR="004746DF" w:rsidRPr="006C5085">
        <w:rPr>
          <w:b/>
        </w:rPr>
        <w:t xml:space="preserve">he Committee recommends that the State party </w:t>
      </w:r>
      <w:r w:rsidR="002429A1" w:rsidRPr="006C5085">
        <w:rPr>
          <w:b/>
        </w:rPr>
        <w:t>amend</w:t>
      </w:r>
      <w:r w:rsidR="004746DF" w:rsidRPr="006C5085">
        <w:rPr>
          <w:b/>
        </w:rPr>
        <w:t xml:space="preserve"> </w:t>
      </w:r>
      <w:r w:rsidRPr="006C5085">
        <w:rPr>
          <w:b/>
        </w:rPr>
        <w:t xml:space="preserve">the </w:t>
      </w:r>
      <w:r w:rsidR="004746DF" w:rsidRPr="006C5085">
        <w:rPr>
          <w:b/>
        </w:rPr>
        <w:t xml:space="preserve">legislation on termination of pregnancy </w:t>
      </w:r>
      <w:r w:rsidRPr="006C5085">
        <w:rPr>
          <w:b/>
        </w:rPr>
        <w:t xml:space="preserve">in Northern Ireland, </w:t>
      </w:r>
      <w:r w:rsidR="002429A1" w:rsidRPr="006C5085">
        <w:rPr>
          <w:b/>
        </w:rPr>
        <w:t xml:space="preserve">in order to </w:t>
      </w:r>
      <w:r w:rsidR="00E16B8A" w:rsidRPr="006C5085">
        <w:rPr>
          <w:b/>
        </w:rPr>
        <w:t>make</w:t>
      </w:r>
      <w:r w:rsidR="002429A1" w:rsidRPr="006C5085">
        <w:rPr>
          <w:b/>
        </w:rPr>
        <w:t xml:space="preserve"> it compatible with other fundamental rights, such as women’s rig</w:t>
      </w:r>
      <w:r w:rsidR="00E16B8A" w:rsidRPr="006C5085">
        <w:rPr>
          <w:b/>
        </w:rPr>
        <w:t>hts to health, life and dignity.</w:t>
      </w:r>
      <w:r w:rsidR="002429A1" w:rsidRPr="006C5085">
        <w:rPr>
          <w:b/>
        </w:rPr>
        <w:t xml:space="preserve"> </w:t>
      </w:r>
      <w:r w:rsidR="00A36609" w:rsidRPr="006C5085">
        <w:rPr>
          <w:b/>
        </w:rPr>
        <w:t>In this respect, th</w:t>
      </w:r>
      <w:r w:rsidRPr="006C5085">
        <w:rPr>
          <w:b/>
        </w:rPr>
        <w:t xml:space="preserve">e Committee draws the attention of the State party to its </w:t>
      </w:r>
      <w:r w:rsidR="00A36609" w:rsidRPr="006C5085">
        <w:rPr>
          <w:b/>
        </w:rPr>
        <w:t>G</w:t>
      </w:r>
      <w:r w:rsidRPr="006C5085">
        <w:rPr>
          <w:b/>
        </w:rPr>
        <w:t xml:space="preserve">eneral Comment N° 22 (2016) on </w:t>
      </w:r>
      <w:r w:rsidR="00E90FAC">
        <w:rPr>
          <w:b/>
        </w:rPr>
        <w:t xml:space="preserve">the </w:t>
      </w:r>
      <w:r w:rsidRPr="006C5085">
        <w:rPr>
          <w:b/>
        </w:rPr>
        <w:t>right to sexual and reproductive health.</w:t>
      </w:r>
    </w:p>
    <w:p w14:paraId="67F60CDA" w14:textId="3EEE662C" w:rsidR="00E6376C" w:rsidRPr="00F932CA" w:rsidRDefault="00E6376C" w:rsidP="00F932CA">
      <w:pPr>
        <w:pStyle w:val="H23G"/>
        <w:ind w:firstLine="0"/>
      </w:pPr>
      <w:r w:rsidRPr="006C5085">
        <w:t>Education</w:t>
      </w:r>
    </w:p>
    <w:p w14:paraId="69BF8F9F" w14:textId="5AD28C43" w:rsidR="00B67ABF" w:rsidRPr="006C5085" w:rsidRDefault="00A40F37" w:rsidP="00B67ABF">
      <w:pPr>
        <w:pStyle w:val="SingleTxtG"/>
        <w:numPr>
          <w:ilvl w:val="0"/>
          <w:numId w:val="17"/>
        </w:numPr>
        <w:tabs>
          <w:tab w:val="left" w:pos="1701"/>
        </w:tabs>
        <w:ind w:left="1134" w:firstLine="0"/>
        <w:rPr>
          <w:rFonts w:ascii="Times" w:hAnsi="Times"/>
        </w:rPr>
      </w:pPr>
      <w:r w:rsidRPr="006C5085">
        <w:t xml:space="preserve">While noting the efforts made by the State party to reduce inequalities in education, the </w:t>
      </w:r>
      <w:r w:rsidR="00E16B8A" w:rsidRPr="006C5085">
        <w:t xml:space="preserve">Committee is </w:t>
      </w:r>
      <w:r w:rsidRPr="006C5085">
        <w:t xml:space="preserve">still </w:t>
      </w:r>
      <w:r w:rsidR="00E16B8A" w:rsidRPr="006C5085">
        <w:t>concerned</w:t>
      </w:r>
      <w:r w:rsidR="00B67ABF" w:rsidRPr="006C5085">
        <w:t xml:space="preserve"> about the persistence of significant</w:t>
      </w:r>
      <w:r w:rsidR="00E16B8A" w:rsidRPr="006C5085">
        <w:t xml:space="preserve"> inequalities in educational attainment, especially for children belonging to ethnic, religious or other minorities and children </w:t>
      </w:r>
      <w:r w:rsidR="00E316B3" w:rsidRPr="006C5085">
        <w:t>from</w:t>
      </w:r>
      <w:r w:rsidR="00E16B8A" w:rsidRPr="006C5085">
        <w:t xml:space="preserve"> low-income families </w:t>
      </w:r>
      <w:r w:rsidR="00B67ABF" w:rsidRPr="006C5085">
        <w:t>which has the effect of limiting social mobility in the State party (</w:t>
      </w:r>
      <w:r w:rsidR="00326C95">
        <w:t>art.</w:t>
      </w:r>
      <w:r w:rsidR="00B67ABF" w:rsidRPr="006C5085">
        <w:t xml:space="preserve"> 13). </w:t>
      </w:r>
    </w:p>
    <w:p w14:paraId="366D8295" w14:textId="5A5BBDDB" w:rsidR="00B67ABF" w:rsidRPr="006C5085" w:rsidRDefault="00B67ABF" w:rsidP="00B67ABF">
      <w:pPr>
        <w:pStyle w:val="SingleTxtG"/>
        <w:numPr>
          <w:ilvl w:val="0"/>
          <w:numId w:val="17"/>
        </w:numPr>
        <w:tabs>
          <w:tab w:val="left" w:pos="1701"/>
        </w:tabs>
        <w:ind w:left="1134" w:firstLine="0"/>
        <w:rPr>
          <w:b/>
        </w:rPr>
      </w:pPr>
      <w:r w:rsidRPr="006C5085">
        <w:rPr>
          <w:b/>
        </w:rPr>
        <w:t>The Committee recommend</w:t>
      </w:r>
      <w:r w:rsidR="007F1253" w:rsidRPr="006C5085">
        <w:rPr>
          <w:b/>
        </w:rPr>
        <w:t xml:space="preserve">s that the State party take all </w:t>
      </w:r>
      <w:r w:rsidRPr="006C5085">
        <w:rPr>
          <w:b/>
        </w:rPr>
        <w:t xml:space="preserve">necessary measures to </w:t>
      </w:r>
      <w:r w:rsidR="004A0888" w:rsidRPr="006C5085">
        <w:rPr>
          <w:b/>
        </w:rPr>
        <w:t xml:space="preserve">reduce </w:t>
      </w:r>
      <w:r w:rsidR="00E316B3" w:rsidRPr="006C5085">
        <w:rPr>
          <w:b/>
        </w:rPr>
        <w:t xml:space="preserve">the attainment gaps particularly among children belonging to low-income families, including by </w:t>
      </w:r>
      <w:r w:rsidR="001A5501">
        <w:rPr>
          <w:b/>
        </w:rPr>
        <w:t xml:space="preserve">reconsidering the austerity programs adopted and effectively </w:t>
      </w:r>
      <w:r w:rsidR="001A5501" w:rsidRPr="00974806">
        <w:rPr>
          <w:b/>
        </w:rPr>
        <w:t>implementing</w:t>
      </w:r>
      <w:r w:rsidR="001A5501" w:rsidRPr="006C5085">
        <w:rPr>
          <w:b/>
        </w:rPr>
        <w:t xml:space="preserve"> </w:t>
      </w:r>
      <w:r w:rsidR="001A5501">
        <w:rPr>
          <w:b/>
        </w:rPr>
        <w:t>measures</w:t>
      </w:r>
      <w:r w:rsidR="00E316B3" w:rsidRPr="006C5085">
        <w:rPr>
          <w:b/>
        </w:rPr>
        <w:t xml:space="preserve"> aimed at reducing</w:t>
      </w:r>
      <w:r w:rsidRPr="006C5085">
        <w:rPr>
          <w:b/>
        </w:rPr>
        <w:t xml:space="preserve"> </w:t>
      </w:r>
      <w:r w:rsidR="00A36609" w:rsidRPr="006C5085">
        <w:rPr>
          <w:b/>
        </w:rPr>
        <w:t xml:space="preserve">de facto </w:t>
      </w:r>
      <w:r w:rsidRPr="006C5085">
        <w:rPr>
          <w:b/>
        </w:rPr>
        <w:t xml:space="preserve">discrimination and segregation of students based on their </w:t>
      </w:r>
      <w:r w:rsidR="00E316B3" w:rsidRPr="006C5085">
        <w:rPr>
          <w:b/>
        </w:rPr>
        <w:t>religion, na</w:t>
      </w:r>
      <w:r w:rsidR="00013D6E" w:rsidRPr="006C5085">
        <w:rPr>
          <w:b/>
        </w:rPr>
        <w:t xml:space="preserve">tional or social origin, as well </w:t>
      </w:r>
      <w:r w:rsidR="00E316B3" w:rsidRPr="006C5085">
        <w:rPr>
          <w:b/>
        </w:rPr>
        <w:t xml:space="preserve">as their </w:t>
      </w:r>
      <w:r w:rsidR="007F1253" w:rsidRPr="006C5085">
        <w:rPr>
          <w:b/>
        </w:rPr>
        <w:t>economic background</w:t>
      </w:r>
      <w:r w:rsidR="00E316B3" w:rsidRPr="006C5085">
        <w:rPr>
          <w:b/>
        </w:rPr>
        <w:t>.</w:t>
      </w:r>
    </w:p>
    <w:p w14:paraId="7A3D4253" w14:textId="0C8F5A65" w:rsidR="00E6376C" w:rsidRPr="00F932CA" w:rsidRDefault="00E6376C" w:rsidP="00F932CA">
      <w:pPr>
        <w:pStyle w:val="H23G"/>
        <w:ind w:firstLine="0"/>
      </w:pPr>
      <w:r w:rsidRPr="006C5085">
        <w:lastRenderedPageBreak/>
        <w:t>Higher education</w:t>
      </w:r>
    </w:p>
    <w:p w14:paraId="186D3DDC" w14:textId="6374CC9A" w:rsidR="00E6376C" w:rsidRPr="006C5085" w:rsidRDefault="00684973" w:rsidP="009F3235">
      <w:pPr>
        <w:pStyle w:val="SingleTxtG"/>
        <w:numPr>
          <w:ilvl w:val="0"/>
          <w:numId w:val="17"/>
        </w:numPr>
        <w:tabs>
          <w:tab w:val="left" w:pos="1701"/>
        </w:tabs>
        <w:ind w:left="1134" w:firstLine="0"/>
      </w:pPr>
      <w:r w:rsidRPr="006C5085">
        <w:t xml:space="preserve">While noting that </w:t>
      </w:r>
      <w:r w:rsidR="00A2133E">
        <w:t>various</w:t>
      </w:r>
      <w:r w:rsidRPr="006C5085">
        <w:t xml:space="preserve"> systems to support the access to higher education</w:t>
      </w:r>
      <w:r w:rsidR="00170870">
        <w:t xml:space="preserve"> are in place in the State party</w:t>
      </w:r>
      <w:r w:rsidRPr="006C5085">
        <w:t>, t</w:t>
      </w:r>
      <w:r w:rsidR="00B67ABF" w:rsidRPr="006C5085">
        <w:t xml:space="preserve">he Committee is concerned </w:t>
      </w:r>
      <w:r w:rsidRPr="006C5085">
        <w:t xml:space="preserve">that </w:t>
      </w:r>
      <w:r w:rsidR="00910DA1" w:rsidRPr="006C5085">
        <w:t xml:space="preserve">university </w:t>
      </w:r>
      <w:r w:rsidR="00E6376C" w:rsidRPr="006C5085">
        <w:t>fees</w:t>
      </w:r>
      <w:r w:rsidRPr="006C5085">
        <w:t xml:space="preserve"> are increasing, </w:t>
      </w:r>
      <w:r w:rsidR="004A0888" w:rsidRPr="006C5085">
        <w:t>which affect the equal</w:t>
      </w:r>
      <w:r w:rsidR="007F1253" w:rsidRPr="006C5085">
        <w:t xml:space="preserve"> access to higher education (</w:t>
      </w:r>
      <w:r w:rsidR="00DA7839">
        <w:t>a</w:t>
      </w:r>
      <w:r w:rsidR="007F1253" w:rsidRPr="006C5085">
        <w:t>rt 13).</w:t>
      </w:r>
    </w:p>
    <w:p w14:paraId="4D705885" w14:textId="12DA0EF5" w:rsidR="007F1253" w:rsidRPr="006C5085" w:rsidRDefault="007F1253" w:rsidP="009F3235">
      <w:pPr>
        <w:pStyle w:val="SingleTxtG"/>
        <w:numPr>
          <w:ilvl w:val="0"/>
          <w:numId w:val="17"/>
        </w:numPr>
        <w:tabs>
          <w:tab w:val="left" w:pos="1701"/>
        </w:tabs>
        <w:ind w:left="1134" w:firstLine="0"/>
        <w:rPr>
          <w:b/>
        </w:rPr>
      </w:pPr>
      <w:r w:rsidRPr="006C5085">
        <w:rPr>
          <w:b/>
        </w:rPr>
        <w:t xml:space="preserve">The Committee </w:t>
      </w:r>
      <w:r w:rsidR="004A0888" w:rsidRPr="006C5085">
        <w:rPr>
          <w:b/>
        </w:rPr>
        <w:t>recommends that the State party take all necessary steps to reduce higher education fees, with a view to mak</w:t>
      </w:r>
      <w:r w:rsidR="00910DA1" w:rsidRPr="006C5085">
        <w:rPr>
          <w:b/>
        </w:rPr>
        <w:t>ing</w:t>
      </w:r>
      <w:r w:rsidR="004A0888" w:rsidRPr="006C5085">
        <w:rPr>
          <w:b/>
        </w:rPr>
        <w:t xml:space="preserve"> higher education equally accessible to all, on the basis of capacity and by the progressive introduction of free higher education.</w:t>
      </w:r>
    </w:p>
    <w:p w14:paraId="6557EA40" w14:textId="527C8CC4" w:rsidR="00E6376C" w:rsidRPr="00F932CA" w:rsidRDefault="00E6376C" w:rsidP="00F932CA">
      <w:pPr>
        <w:pStyle w:val="H23G"/>
        <w:ind w:firstLine="0"/>
      </w:pPr>
      <w:r w:rsidRPr="006C5085">
        <w:t>Irish Language</w:t>
      </w:r>
    </w:p>
    <w:p w14:paraId="047A9799" w14:textId="6C511284" w:rsidR="00E316B3" w:rsidRPr="006C5085" w:rsidRDefault="007F1253" w:rsidP="007F1253">
      <w:pPr>
        <w:pStyle w:val="SingleTxtG"/>
        <w:numPr>
          <w:ilvl w:val="0"/>
          <w:numId w:val="17"/>
        </w:numPr>
        <w:tabs>
          <w:tab w:val="left" w:pos="1701"/>
        </w:tabs>
        <w:ind w:left="1134" w:firstLine="0"/>
      </w:pPr>
      <w:r w:rsidRPr="006C5085">
        <w:t>The Committee</w:t>
      </w:r>
      <w:r w:rsidR="00E316B3" w:rsidRPr="006C5085">
        <w:t xml:space="preserve"> remains concerned about the lack of effective measures adopted by the State party to promote the use of Irish Language in Northern Ireland (</w:t>
      </w:r>
      <w:r w:rsidR="00DA7839">
        <w:t>a</w:t>
      </w:r>
      <w:r w:rsidR="00326C95">
        <w:t>rt.</w:t>
      </w:r>
      <w:r w:rsidR="00E316B3" w:rsidRPr="006C5085">
        <w:t xml:space="preserve"> 15).</w:t>
      </w:r>
    </w:p>
    <w:p w14:paraId="21462580" w14:textId="7D403741" w:rsidR="007F1253" w:rsidRPr="006C5085" w:rsidRDefault="00E316B3" w:rsidP="007F1253">
      <w:pPr>
        <w:pStyle w:val="SingleTxtG"/>
        <w:numPr>
          <w:ilvl w:val="0"/>
          <w:numId w:val="17"/>
        </w:numPr>
        <w:tabs>
          <w:tab w:val="left" w:pos="1701"/>
        </w:tabs>
        <w:ind w:left="1134" w:firstLine="0"/>
        <w:rPr>
          <w:b/>
        </w:rPr>
      </w:pPr>
      <w:r w:rsidRPr="006C5085">
        <w:rPr>
          <w:b/>
        </w:rPr>
        <w:t xml:space="preserve">The Committee </w:t>
      </w:r>
      <w:r w:rsidR="007F1253" w:rsidRPr="006C5085">
        <w:rPr>
          <w:b/>
        </w:rPr>
        <w:t xml:space="preserve">reiterates its previous </w:t>
      </w:r>
      <w:r w:rsidRPr="006C5085">
        <w:rPr>
          <w:b/>
        </w:rPr>
        <w:t>recommendation (E/C.12/GBR/CO/5, para. 37) and recommends that the State party adopt an Irish Language Act.</w:t>
      </w:r>
    </w:p>
    <w:p w14:paraId="7B950268" w14:textId="77777777" w:rsidR="00C82F62" w:rsidRPr="006C5085" w:rsidRDefault="00C82F62" w:rsidP="00C82F62">
      <w:pPr>
        <w:pStyle w:val="H1G"/>
      </w:pPr>
      <w:r w:rsidRPr="006C5085">
        <w:tab/>
        <w:t>D.</w:t>
      </w:r>
      <w:r w:rsidRPr="006C5085">
        <w:tab/>
        <w:t>Other recommendations</w:t>
      </w:r>
    </w:p>
    <w:p w14:paraId="1E8A4AAA" w14:textId="2394A8A2" w:rsidR="00B637B2" w:rsidRPr="006C5085" w:rsidRDefault="00B637B2" w:rsidP="009F3235">
      <w:pPr>
        <w:pStyle w:val="SingleTxtG"/>
        <w:numPr>
          <w:ilvl w:val="0"/>
          <w:numId w:val="17"/>
        </w:numPr>
        <w:tabs>
          <w:tab w:val="left" w:pos="1701"/>
        </w:tabs>
        <w:ind w:left="1134" w:firstLine="0"/>
        <w:rPr>
          <w:b/>
        </w:rPr>
      </w:pPr>
      <w:r w:rsidRPr="006C5085">
        <w:rPr>
          <w:b/>
        </w:rPr>
        <w:t>The Committee encourages the State party to ratify the Optional Protocol to the International Covenant on Economic, Social and Cultural Rights.</w:t>
      </w:r>
    </w:p>
    <w:p w14:paraId="084CF9BF" w14:textId="7E9DDDC6" w:rsidR="00910DA1" w:rsidRPr="006C5085" w:rsidRDefault="00A37805" w:rsidP="009F3235">
      <w:pPr>
        <w:pStyle w:val="SingleTxtG"/>
        <w:numPr>
          <w:ilvl w:val="0"/>
          <w:numId w:val="17"/>
        </w:numPr>
        <w:tabs>
          <w:tab w:val="left" w:pos="1701"/>
        </w:tabs>
        <w:ind w:left="1134" w:firstLine="0"/>
        <w:rPr>
          <w:b/>
        </w:rPr>
      </w:pPr>
      <w:r w:rsidRPr="006C5085">
        <w:rPr>
          <w:b/>
        </w:rPr>
        <w:t xml:space="preserve">The Committee encourages the State party to </w:t>
      </w:r>
      <w:r w:rsidR="00A25656" w:rsidRPr="006C5085">
        <w:rPr>
          <w:b/>
        </w:rPr>
        <w:t xml:space="preserve">consider </w:t>
      </w:r>
      <w:r w:rsidRPr="006C5085">
        <w:rPr>
          <w:b/>
        </w:rPr>
        <w:t>ratify</w:t>
      </w:r>
      <w:r w:rsidR="00A25656" w:rsidRPr="006C5085">
        <w:rPr>
          <w:b/>
        </w:rPr>
        <w:t>ing the core human rights instruments to which it is not yet a party, namely, the International Convention on the Protection of the Rights of All Migrant Workers and Members of their Families, the International Convention for the Protection of All Persons from Enforced Disappearance</w:t>
      </w:r>
      <w:r w:rsidR="00571DD3">
        <w:rPr>
          <w:b/>
        </w:rPr>
        <w:t xml:space="preserve">, </w:t>
      </w:r>
      <w:r w:rsidR="00A25656" w:rsidRPr="006C5085">
        <w:rPr>
          <w:b/>
        </w:rPr>
        <w:t>the First Optional Protocol to the International Covenant on Civil and Political Rights</w:t>
      </w:r>
      <w:r w:rsidR="006A2E68">
        <w:rPr>
          <w:b/>
        </w:rPr>
        <w:t>,</w:t>
      </w:r>
      <w:r w:rsidR="00571DD3">
        <w:rPr>
          <w:b/>
        </w:rPr>
        <w:t xml:space="preserve"> and the Optional Protocol to the Convention on the Rights of the Child on a communications procedure</w:t>
      </w:r>
      <w:r w:rsidR="00A25656" w:rsidRPr="006C5085">
        <w:rPr>
          <w:b/>
        </w:rPr>
        <w:t>.</w:t>
      </w:r>
    </w:p>
    <w:p w14:paraId="3A5F3167" w14:textId="252DCE05" w:rsidR="00B637B2" w:rsidRPr="006C5085" w:rsidRDefault="00B637B2" w:rsidP="009F3235">
      <w:pPr>
        <w:pStyle w:val="SingleTxtG"/>
        <w:numPr>
          <w:ilvl w:val="0"/>
          <w:numId w:val="17"/>
        </w:numPr>
        <w:tabs>
          <w:tab w:val="left" w:pos="1701"/>
        </w:tabs>
        <w:ind w:left="1134" w:firstLine="0"/>
        <w:rPr>
          <w:b/>
        </w:rPr>
      </w:pPr>
      <w:r w:rsidRPr="006C5085">
        <w:rPr>
          <w:b/>
        </w:rPr>
        <w:t xml:space="preserve">The Committee recommends that the State party take steps to progressively develop and apply appropriate indicators on the implementation of economic, social and cultural rights, in order to facilitate the assessment of progress achieved by the State party in the compliance of its obligations under the Covenant for various segments of the population. In </w:t>
      </w:r>
      <w:r w:rsidR="003108AB" w:rsidRPr="006C5085">
        <w:rPr>
          <w:b/>
        </w:rPr>
        <w:t>th</w:t>
      </w:r>
      <w:r w:rsidR="003108AB">
        <w:rPr>
          <w:b/>
        </w:rPr>
        <w:t>is</w:t>
      </w:r>
      <w:r w:rsidR="003108AB" w:rsidRPr="006C5085">
        <w:rPr>
          <w:b/>
        </w:rPr>
        <w:t xml:space="preserve"> </w:t>
      </w:r>
      <w:r w:rsidRPr="006C5085">
        <w:rPr>
          <w:b/>
        </w:rPr>
        <w:t>context, the Committee refers the State party to, inter alia, the conceptual and methodological framework on human rights indicators developed by the Office of the United Nations High Commissioner for Human Rights (see HRI/MC/2008/3).</w:t>
      </w:r>
    </w:p>
    <w:p w14:paraId="70F7077E" w14:textId="3BDB261D" w:rsidR="00B637B2" w:rsidRPr="006C5085" w:rsidRDefault="00B637B2" w:rsidP="009F3235">
      <w:pPr>
        <w:pStyle w:val="SingleTxtG"/>
        <w:numPr>
          <w:ilvl w:val="0"/>
          <w:numId w:val="17"/>
        </w:numPr>
        <w:tabs>
          <w:tab w:val="left" w:pos="1701"/>
        </w:tabs>
        <w:ind w:left="1134" w:firstLine="0"/>
      </w:pPr>
      <w:r w:rsidRPr="006C5085">
        <w:rPr>
          <w:b/>
        </w:rPr>
        <w:t xml:space="preserve">The Committee requests that the State party disseminate the present concluding observations widely at all levels of society at national, provincial and territorial levels, particularly among parliamentarians, public officials and judicial authorities, and that it inform the Committee in its next periodic report about the steps taken to implement them. The Committee also encourages the State party to engage non-governmental organizations and other members of civil society in the </w:t>
      </w:r>
      <w:r w:rsidR="00170870">
        <w:rPr>
          <w:b/>
        </w:rPr>
        <w:t xml:space="preserve">follow-up to the present concluding observations and in the </w:t>
      </w:r>
      <w:r w:rsidRPr="006C5085">
        <w:rPr>
          <w:b/>
        </w:rPr>
        <w:t xml:space="preserve">process of consultation at the national level prior to the submission of its next periodic report. </w:t>
      </w:r>
      <w:r w:rsidR="00F2663A">
        <w:rPr>
          <w:b/>
        </w:rPr>
        <w:t>Furthermore, t</w:t>
      </w:r>
      <w:r w:rsidR="00170870">
        <w:rPr>
          <w:b/>
        </w:rPr>
        <w:t xml:space="preserve">he Committee requests that the State party </w:t>
      </w:r>
      <w:r w:rsidR="008B293B" w:rsidRPr="006C5085">
        <w:rPr>
          <w:b/>
        </w:rPr>
        <w:t xml:space="preserve">ensure an effective coordination with all devolved administrations, </w:t>
      </w:r>
      <w:r w:rsidR="00170870">
        <w:rPr>
          <w:b/>
        </w:rPr>
        <w:t>particularly</w:t>
      </w:r>
      <w:r w:rsidR="008B293B" w:rsidRPr="006C5085">
        <w:rPr>
          <w:b/>
        </w:rPr>
        <w:t xml:space="preserve"> Northern Ireland</w:t>
      </w:r>
      <w:r w:rsidR="00170870">
        <w:rPr>
          <w:b/>
        </w:rPr>
        <w:t xml:space="preserve">, </w:t>
      </w:r>
      <w:r w:rsidR="008B293B" w:rsidRPr="006C5085">
        <w:rPr>
          <w:b/>
        </w:rPr>
        <w:t xml:space="preserve">and </w:t>
      </w:r>
      <w:r w:rsidR="00170870">
        <w:rPr>
          <w:b/>
        </w:rPr>
        <w:t>with its</w:t>
      </w:r>
      <w:r w:rsidR="008B293B" w:rsidRPr="006C5085">
        <w:rPr>
          <w:b/>
        </w:rPr>
        <w:t xml:space="preserve"> Overseas Territories and Crown Dependencies, at all stages </w:t>
      </w:r>
      <w:r w:rsidR="00170870">
        <w:rPr>
          <w:b/>
        </w:rPr>
        <w:t>of</w:t>
      </w:r>
      <w:r w:rsidR="008B293B" w:rsidRPr="006C5085">
        <w:rPr>
          <w:b/>
        </w:rPr>
        <w:t xml:space="preserve"> the implementation of the present Concluding Observations and in the preparation of its next periodic report.</w:t>
      </w:r>
    </w:p>
    <w:p w14:paraId="4FE76D20" w14:textId="77777777" w:rsidR="00087903" w:rsidRPr="006C5085" w:rsidRDefault="00B637B2" w:rsidP="009F3235">
      <w:pPr>
        <w:pStyle w:val="SingleTxtG"/>
        <w:numPr>
          <w:ilvl w:val="0"/>
          <w:numId w:val="17"/>
        </w:numPr>
        <w:tabs>
          <w:tab w:val="left" w:pos="1701"/>
        </w:tabs>
        <w:ind w:left="1134" w:firstLine="0"/>
        <w:rPr>
          <w:b/>
        </w:rPr>
      </w:pPr>
      <w:r w:rsidRPr="006C5085">
        <w:rPr>
          <w:b/>
        </w:rPr>
        <w:t xml:space="preserve">The Committee requests the State party to submit its seventh periodic report, to be prepared in accordance with the reporting guidelines adopted by the Committee in 2008 (E/C.12/2008/2), by 30 June 2021. It also invites the State party to update its </w:t>
      </w:r>
      <w:r w:rsidRPr="006C5085">
        <w:rPr>
          <w:b/>
        </w:rPr>
        <w:lastRenderedPageBreak/>
        <w:t>common core document, as necessary and in accordance with the harmonized guidelines on reporting under the international human rights treaties (HRI/GEN/2/Rev.6, chap. I).</w:t>
      </w:r>
    </w:p>
    <w:p w14:paraId="7C52444E" w14:textId="77777777" w:rsidR="00C82F62" w:rsidRPr="006C5085" w:rsidRDefault="00087903" w:rsidP="00087903">
      <w:pPr>
        <w:pStyle w:val="SingleTxtG"/>
        <w:tabs>
          <w:tab w:val="left" w:pos="1701"/>
        </w:tabs>
        <w:spacing w:before="240" w:after="0"/>
        <w:jc w:val="center"/>
        <w:rPr>
          <w:b/>
          <w:u w:val="single"/>
        </w:rPr>
      </w:pPr>
      <w:r w:rsidRPr="006C5085">
        <w:rPr>
          <w:u w:val="single"/>
        </w:rPr>
        <w:tab/>
      </w:r>
      <w:r w:rsidRPr="006C5085">
        <w:rPr>
          <w:u w:val="single"/>
        </w:rPr>
        <w:tab/>
      </w:r>
      <w:r w:rsidRPr="006C5085">
        <w:rPr>
          <w:u w:val="single"/>
        </w:rPr>
        <w:tab/>
      </w:r>
    </w:p>
    <w:sectPr w:rsidR="00C82F62" w:rsidRPr="006C5085" w:rsidSect="009959C4">
      <w:headerReference w:type="even" r:id="rId11"/>
      <w:headerReference w:type="default" r:id="rId12"/>
      <w:footerReference w:type="even" r:id="rId13"/>
      <w:footerReference w:type="defaul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82369" w14:textId="77777777" w:rsidR="00AB67D8" w:rsidRDefault="00AB67D8"/>
  </w:endnote>
  <w:endnote w:type="continuationSeparator" w:id="0">
    <w:p w14:paraId="5648CD8E" w14:textId="77777777" w:rsidR="00AB67D8" w:rsidRDefault="00AB67D8"/>
  </w:endnote>
  <w:endnote w:type="continuationNotice" w:id="1">
    <w:p w14:paraId="7CDEEBBE" w14:textId="77777777" w:rsidR="00AB67D8" w:rsidRDefault="00AB6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C52CD" w14:textId="77777777" w:rsidR="0097583C" w:rsidRPr="00087903" w:rsidRDefault="0097583C" w:rsidP="007949E7">
    <w:pPr>
      <w:pStyle w:val="Footer"/>
      <w:tabs>
        <w:tab w:val="right" w:pos="9598"/>
        <w:tab w:val="right" w:pos="9638"/>
      </w:tabs>
      <w:rPr>
        <w:b/>
        <w:sz w:val="18"/>
      </w:rPr>
    </w:pPr>
    <w:r w:rsidRPr="00291110">
      <w:rPr>
        <w:sz w:val="18"/>
      </w:rPr>
      <w:fldChar w:fldCharType="begin"/>
    </w:r>
    <w:r w:rsidRPr="00291110">
      <w:rPr>
        <w:sz w:val="18"/>
      </w:rPr>
      <w:instrText xml:space="preserve"> PAGE  \* MERGEFORMAT </w:instrText>
    </w:r>
    <w:r w:rsidRPr="00291110">
      <w:rPr>
        <w:sz w:val="18"/>
      </w:rPr>
      <w:fldChar w:fldCharType="separate"/>
    </w:r>
    <w:r w:rsidR="001B1823">
      <w:rPr>
        <w:noProof/>
        <w:sz w:val="18"/>
      </w:rPr>
      <w:t>12</w:t>
    </w:r>
    <w:r w:rsidRPr="00291110">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8D90" w14:textId="77777777" w:rsidR="0097583C" w:rsidRPr="007949E7" w:rsidRDefault="0097583C" w:rsidP="0010210D">
    <w:pPr>
      <w:pStyle w:val="Footer"/>
      <w:tabs>
        <w:tab w:val="right" w:pos="9598"/>
        <w:tab w:val="right" w:pos="9638"/>
      </w:tabs>
      <w:jc w:val="right"/>
      <w:rPr>
        <w:sz w:val="18"/>
      </w:rPr>
    </w:pPr>
    <w:r>
      <w:rPr>
        <w:sz w:val="18"/>
      </w:rPr>
      <w:tab/>
    </w:r>
    <w:r w:rsidRPr="007949E7">
      <w:rPr>
        <w:sz w:val="18"/>
      </w:rPr>
      <w:fldChar w:fldCharType="begin"/>
    </w:r>
    <w:r w:rsidRPr="007949E7">
      <w:rPr>
        <w:sz w:val="18"/>
      </w:rPr>
      <w:instrText xml:space="preserve"> PAGE  \* MERGEFORMAT </w:instrText>
    </w:r>
    <w:r w:rsidRPr="007949E7">
      <w:rPr>
        <w:sz w:val="18"/>
      </w:rPr>
      <w:fldChar w:fldCharType="separate"/>
    </w:r>
    <w:r w:rsidR="001B1823">
      <w:rPr>
        <w:noProof/>
        <w:sz w:val="18"/>
      </w:rPr>
      <w:t>13</w:t>
    </w:r>
    <w:r w:rsidRPr="007949E7">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FE3F" w14:textId="77777777" w:rsidR="00AB67D8" w:rsidRPr="000B175B" w:rsidRDefault="00AB67D8" w:rsidP="000B175B">
      <w:pPr>
        <w:tabs>
          <w:tab w:val="right" w:pos="2155"/>
        </w:tabs>
        <w:spacing w:after="80"/>
        <w:ind w:left="680"/>
        <w:rPr>
          <w:u w:val="single"/>
        </w:rPr>
      </w:pPr>
      <w:r>
        <w:rPr>
          <w:u w:val="single"/>
        </w:rPr>
        <w:tab/>
      </w:r>
    </w:p>
  </w:footnote>
  <w:footnote w:type="continuationSeparator" w:id="0">
    <w:p w14:paraId="3BAF5F73" w14:textId="77777777" w:rsidR="00AB67D8" w:rsidRPr="00FC68B7" w:rsidRDefault="00AB67D8" w:rsidP="00FC68B7">
      <w:pPr>
        <w:tabs>
          <w:tab w:val="left" w:pos="2155"/>
        </w:tabs>
        <w:spacing w:after="80"/>
        <w:ind w:left="680"/>
        <w:rPr>
          <w:u w:val="single"/>
        </w:rPr>
      </w:pPr>
      <w:r>
        <w:rPr>
          <w:u w:val="single"/>
        </w:rPr>
        <w:tab/>
      </w:r>
    </w:p>
  </w:footnote>
  <w:footnote w:type="continuationNotice" w:id="1">
    <w:p w14:paraId="21108D93" w14:textId="77777777" w:rsidR="00AB67D8" w:rsidRDefault="00AB67D8"/>
  </w:footnote>
  <w:footnote w:id="2">
    <w:p w14:paraId="6C3A3C11" w14:textId="20D4089A" w:rsidR="0097583C" w:rsidRPr="002C5E82" w:rsidRDefault="0097583C" w:rsidP="0077156C">
      <w:pPr>
        <w:suppressAutoHyphens w:val="0"/>
        <w:autoSpaceDE w:val="0"/>
        <w:autoSpaceDN w:val="0"/>
        <w:adjustRightInd w:val="0"/>
        <w:spacing w:line="240" w:lineRule="auto"/>
        <w:ind w:left="720" w:hanging="720"/>
        <w:jc w:val="both"/>
        <w:rPr>
          <w:color w:val="000000"/>
          <w:lang w:eastAsia="fr-FR"/>
        </w:rPr>
      </w:pPr>
      <w:r>
        <w:tab/>
      </w:r>
      <w:r>
        <w:rPr>
          <w:rStyle w:val="FootnoteReference"/>
          <w:sz w:val="20"/>
        </w:rPr>
        <w:t>*</w:t>
      </w:r>
      <w:r>
        <w:tab/>
      </w:r>
      <w:r w:rsidR="00252162">
        <w:t>Adopted by the Committee at its fifty-eight session (6 – 24 June 2016)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E2CCF" w14:textId="6151EE51" w:rsidR="0097583C" w:rsidRPr="003D2931" w:rsidRDefault="0097583C" w:rsidP="00087903">
    <w:pPr>
      <w:pStyle w:val="Header"/>
      <w:rPr>
        <w:lang w:val="fr-CH"/>
      </w:rPr>
    </w:pPr>
    <w:r>
      <w:rPr>
        <w:lang w:val="fr-CH"/>
      </w:rPr>
      <w:t>E/C.12/GBR/CO/6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4E04F" w14:textId="1F3073B7" w:rsidR="0097583C" w:rsidRPr="003D2931" w:rsidRDefault="0097583C" w:rsidP="007949E7">
    <w:pPr>
      <w:pStyle w:val="Header"/>
      <w:jc w:val="right"/>
      <w:rPr>
        <w:lang w:val="fr-CH"/>
      </w:rPr>
    </w:pPr>
    <w:r>
      <w:rPr>
        <w:lang w:val="fr-CH"/>
      </w:rPr>
      <w:t>E/C.12/GBR/CO/6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BB2F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0C49F8"/>
    <w:multiLevelType w:val="hybridMultilevel"/>
    <w:tmpl w:val="57E679C2"/>
    <w:lvl w:ilvl="0" w:tplc="075A6416">
      <w:start w:val="1"/>
      <w:numFmt w:val="decimal"/>
      <w:pStyle w:val="ParaNoG"/>
      <w:lvlText w:val="%1."/>
      <w:lvlJc w:val="left"/>
      <w:pPr>
        <w:tabs>
          <w:tab w:val="num" w:pos="1494"/>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3434A74"/>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3"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97207A2"/>
    <w:multiLevelType w:val="hybridMultilevel"/>
    <w:tmpl w:val="65AE596C"/>
    <w:lvl w:ilvl="0" w:tplc="862A7378">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5" w15:restartNumberingAfterBreak="0">
    <w:nsid w:val="0F0C7BE6"/>
    <w:multiLevelType w:val="hybridMultilevel"/>
    <w:tmpl w:val="516A9F00"/>
    <w:lvl w:ilvl="0" w:tplc="5EB4936C">
      <w:start w:val="1"/>
      <w:numFmt w:val="decimal"/>
      <w:lvlText w:val="%1."/>
      <w:lvlJc w:val="left"/>
      <w:pPr>
        <w:ind w:left="2278" w:hanging="576"/>
      </w:pPr>
      <w:rPr>
        <w:b w:val="0"/>
        <w:bCs w:val="0"/>
        <w:i w:val="0"/>
        <w:color w:val="auto"/>
        <w:sz w:val="20"/>
        <w:szCs w:val="20"/>
        <w:lang w:val="en-U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15256013"/>
    <w:multiLevelType w:val="multilevel"/>
    <w:tmpl w:val="E2F8D574"/>
    <w:lvl w:ilvl="0">
      <w:start w:val="1"/>
      <w:numFmt w:val="decimal"/>
      <w:lvlText w:val="%1."/>
      <w:lvlJc w:val="left"/>
      <w:pPr>
        <w:ind w:left="1353" w:hanging="360"/>
      </w:pPr>
      <w:rPr>
        <w:b w:val="0"/>
        <w:color w:val="auto"/>
      </w:r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7C234A7"/>
    <w:multiLevelType w:val="hybridMultilevel"/>
    <w:tmpl w:val="3D72D1A6"/>
    <w:lvl w:ilvl="0" w:tplc="862A7378">
      <w:start w:val="1"/>
      <w:numFmt w:val="lowerLetter"/>
      <w:lvlText w:val="(%1)"/>
      <w:lvlJc w:val="left"/>
      <w:pPr>
        <w:ind w:left="1694" w:hanging="5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595846"/>
    <w:multiLevelType w:val="hybridMultilevel"/>
    <w:tmpl w:val="25EAF5C4"/>
    <w:lvl w:ilvl="0" w:tplc="8EFE162E">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2C196A70"/>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2"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991499"/>
    <w:multiLevelType w:val="hybridMultilevel"/>
    <w:tmpl w:val="E2F8D574"/>
    <w:lvl w:ilvl="0" w:tplc="5578373E">
      <w:start w:val="1"/>
      <w:numFmt w:val="decimal"/>
      <w:lvlText w:val="%1."/>
      <w:lvlJc w:val="left"/>
      <w:pPr>
        <w:ind w:left="1353" w:hanging="360"/>
      </w:pPr>
      <w:rPr>
        <w:b w:val="0"/>
        <w:color w:val="auto"/>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24" w15:restartNumberingAfterBreak="0">
    <w:nsid w:val="3C066598"/>
    <w:multiLevelType w:val="hybridMultilevel"/>
    <w:tmpl w:val="AB8EEE7C"/>
    <w:lvl w:ilvl="0" w:tplc="61208804">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493A782A"/>
    <w:multiLevelType w:val="hybridMultilevel"/>
    <w:tmpl w:val="8DC6478C"/>
    <w:lvl w:ilvl="0" w:tplc="2A102F64">
      <w:start w:val="1"/>
      <w:numFmt w:val="lowerLetter"/>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6"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781E7B1C"/>
    <w:multiLevelType w:val="hybridMultilevel"/>
    <w:tmpl w:val="BD723BEA"/>
    <w:lvl w:ilvl="0" w:tplc="E89EB59C">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15:restartNumberingAfterBreak="0">
    <w:nsid w:val="7B570BF1"/>
    <w:multiLevelType w:val="hybridMultilevel"/>
    <w:tmpl w:val="516A9F00"/>
    <w:lvl w:ilvl="0" w:tplc="5EB4936C">
      <w:start w:val="1"/>
      <w:numFmt w:val="decimal"/>
      <w:lvlText w:val="%1."/>
      <w:lvlJc w:val="left"/>
      <w:pPr>
        <w:ind w:left="2278" w:hanging="576"/>
      </w:pPr>
      <w:rPr>
        <w:b w:val="0"/>
        <w:bCs w:val="0"/>
        <w:i w:val="0"/>
        <w:color w:val="auto"/>
        <w:sz w:val="20"/>
        <w:szCs w:val="20"/>
        <w:lang w:val="en-US"/>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C1C1AE0"/>
    <w:multiLevelType w:val="hybridMultilevel"/>
    <w:tmpl w:val="EFA2D17A"/>
    <w:lvl w:ilvl="0" w:tplc="3ECA4988">
      <w:start w:val="1"/>
      <w:numFmt w:val="lowerLetter"/>
      <w:lvlText w:val="(%1)"/>
      <w:lvlJc w:val="left"/>
      <w:pPr>
        <w:ind w:left="1494" w:hanging="360"/>
      </w:pPr>
      <w:rPr>
        <w:rFonts w:hint="default"/>
      </w:rPr>
    </w:lvl>
    <w:lvl w:ilvl="1" w:tplc="DFEE4A72">
      <w:start w:val="1"/>
      <w:numFmt w:val="lowerLetter"/>
      <w:lvlText w:val="(%2)"/>
      <w:lvlJc w:val="left"/>
      <w:pPr>
        <w:ind w:left="2739" w:hanging="885"/>
      </w:pPr>
      <w:rPr>
        <w:rFonts w:hint="default"/>
      </w:r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num w:numId="1">
    <w:abstractNumId w:val="2"/>
  </w:num>
  <w:num w:numId="2">
    <w:abstractNumId w:val="1"/>
  </w:num>
  <w:num w:numId="3">
    <w:abstractNumId w:val="3"/>
  </w:num>
  <w:num w:numId="4">
    <w:abstractNumId w:val="4"/>
  </w:num>
  <w:num w:numId="5">
    <w:abstractNumId w:val="9"/>
  </w:num>
  <w:num w:numId="6">
    <w:abstractNumId w:val="10"/>
  </w:num>
  <w:num w:numId="7">
    <w:abstractNumId w:val="8"/>
  </w:num>
  <w:num w:numId="8">
    <w:abstractNumId w:val="7"/>
  </w:num>
  <w:num w:numId="9">
    <w:abstractNumId w:val="6"/>
  </w:num>
  <w:num w:numId="10">
    <w:abstractNumId w:val="5"/>
  </w:num>
  <w:num w:numId="11">
    <w:abstractNumId w:val="22"/>
  </w:num>
  <w:num w:numId="12">
    <w:abstractNumId w:val="19"/>
  </w:num>
  <w:num w:numId="13">
    <w:abstractNumId w:val="11"/>
  </w:num>
  <w:num w:numId="14">
    <w:abstractNumId w:val="26"/>
  </w:num>
  <w:num w:numId="15">
    <w:abstractNumId w:val="17"/>
  </w:num>
  <w:num w:numId="16">
    <w:abstractNumId w:val="13"/>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8"/>
  </w:num>
  <w:num w:numId="21">
    <w:abstractNumId w:val="28"/>
  </w:num>
  <w:num w:numId="22">
    <w:abstractNumId w:val="23"/>
  </w:num>
  <w:num w:numId="23">
    <w:abstractNumId w:val="12"/>
  </w:num>
  <w:num w:numId="24">
    <w:abstractNumId w:val="20"/>
  </w:num>
  <w:num w:numId="25">
    <w:abstractNumId w:val="29"/>
  </w:num>
  <w:num w:numId="26">
    <w:abstractNumId w:val="27"/>
  </w:num>
  <w:num w:numId="27">
    <w:abstractNumId w:val="25"/>
  </w:num>
  <w:num w:numId="28">
    <w:abstractNumId w:val="24"/>
  </w:num>
  <w:num w:numId="29">
    <w:abstractNumId w:val="21"/>
  </w:num>
  <w:num w:numId="30">
    <w:abstractNumId w:val="15"/>
  </w:num>
  <w:num w:numId="31">
    <w:abstractNumId w:val="16"/>
  </w:num>
  <w:num w:numId="32">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93"/>
    <w:rsid w:val="00003796"/>
    <w:rsid w:val="0001150F"/>
    <w:rsid w:val="00013D6E"/>
    <w:rsid w:val="00013DE0"/>
    <w:rsid w:val="00014165"/>
    <w:rsid w:val="00015E11"/>
    <w:rsid w:val="00016AA6"/>
    <w:rsid w:val="00017D99"/>
    <w:rsid w:val="0002019B"/>
    <w:rsid w:val="00021E05"/>
    <w:rsid w:val="00023BBF"/>
    <w:rsid w:val="00030B99"/>
    <w:rsid w:val="0003751C"/>
    <w:rsid w:val="000411BC"/>
    <w:rsid w:val="00047DEB"/>
    <w:rsid w:val="00050F6B"/>
    <w:rsid w:val="000531A2"/>
    <w:rsid w:val="00055B13"/>
    <w:rsid w:val="00066092"/>
    <w:rsid w:val="000726E8"/>
    <w:rsid w:val="00072C8C"/>
    <w:rsid w:val="00073061"/>
    <w:rsid w:val="00087903"/>
    <w:rsid w:val="00087BF3"/>
    <w:rsid w:val="00092595"/>
    <w:rsid w:val="000931C0"/>
    <w:rsid w:val="000A2266"/>
    <w:rsid w:val="000B175B"/>
    <w:rsid w:val="000B3A0F"/>
    <w:rsid w:val="000B7C86"/>
    <w:rsid w:val="000C0863"/>
    <w:rsid w:val="000C1EB1"/>
    <w:rsid w:val="000C3162"/>
    <w:rsid w:val="000C4C55"/>
    <w:rsid w:val="000D342C"/>
    <w:rsid w:val="000E0415"/>
    <w:rsid w:val="000E2E04"/>
    <w:rsid w:val="000E4389"/>
    <w:rsid w:val="000E58EE"/>
    <w:rsid w:val="000F269E"/>
    <w:rsid w:val="000F485F"/>
    <w:rsid w:val="0010210D"/>
    <w:rsid w:val="00115A87"/>
    <w:rsid w:val="00120DE4"/>
    <w:rsid w:val="00121573"/>
    <w:rsid w:val="00125BE2"/>
    <w:rsid w:val="0013152A"/>
    <w:rsid w:val="001361A2"/>
    <w:rsid w:val="001570C1"/>
    <w:rsid w:val="00165DF1"/>
    <w:rsid w:val="00170870"/>
    <w:rsid w:val="00173234"/>
    <w:rsid w:val="00183058"/>
    <w:rsid w:val="0018694B"/>
    <w:rsid w:val="00192722"/>
    <w:rsid w:val="001937A7"/>
    <w:rsid w:val="001A5501"/>
    <w:rsid w:val="001A5F06"/>
    <w:rsid w:val="001A6AE0"/>
    <w:rsid w:val="001B02DA"/>
    <w:rsid w:val="001B1823"/>
    <w:rsid w:val="001B4B04"/>
    <w:rsid w:val="001B4BE0"/>
    <w:rsid w:val="001C18D6"/>
    <w:rsid w:val="001C25DE"/>
    <w:rsid w:val="001C5291"/>
    <w:rsid w:val="001C6663"/>
    <w:rsid w:val="001C7895"/>
    <w:rsid w:val="001D14C6"/>
    <w:rsid w:val="001D1861"/>
    <w:rsid w:val="001D26DF"/>
    <w:rsid w:val="001D3443"/>
    <w:rsid w:val="001D35AC"/>
    <w:rsid w:val="001D37D4"/>
    <w:rsid w:val="001E7E7A"/>
    <w:rsid w:val="001F2BE4"/>
    <w:rsid w:val="001F3FDF"/>
    <w:rsid w:val="001F74B2"/>
    <w:rsid w:val="00202AF1"/>
    <w:rsid w:val="00204081"/>
    <w:rsid w:val="00205E77"/>
    <w:rsid w:val="00211E0B"/>
    <w:rsid w:val="00213B74"/>
    <w:rsid w:val="00234C1D"/>
    <w:rsid w:val="002352BD"/>
    <w:rsid w:val="00236880"/>
    <w:rsid w:val="00237C9D"/>
    <w:rsid w:val="0024165B"/>
    <w:rsid w:val="002429A1"/>
    <w:rsid w:val="00242A93"/>
    <w:rsid w:val="00246FD4"/>
    <w:rsid w:val="00250437"/>
    <w:rsid w:val="0025052D"/>
    <w:rsid w:val="00252162"/>
    <w:rsid w:val="0025589D"/>
    <w:rsid w:val="00260895"/>
    <w:rsid w:val="0026409B"/>
    <w:rsid w:val="00291110"/>
    <w:rsid w:val="00295F0B"/>
    <w:rsid w:val="002A219C"/>
    <w:rsid w:val="002A66E8"/>
    <w:rsid w:val="002B13F2"/>
    <w:rsid w:val="002C1690"/>
    <w:rsid w:val="002C5E82"/>
    <w:rsid w:val="002E0825"/>
    <w:rsid w:val="002E0856"/>
    <w:rsid w:val="002E0EBC"/>
    <w:rsid w:val="002E1967"/>
    <w:rsid w:val="002E1AC4"/>
    <w:rsid w:val="002E1C31"/>
    <w:rsid w:val="002E416E"/>
    <w:rsid w:val="002E4711"/>
    <w:rsid w:val="002F18DE"/>
    <w:rsid w:val="002F3320"/>
    <w:rsid w:val="002F6E5E"/>
    <w:rsid w:val="00301689"/>
    <w:rsid w:val="0030213C"/>
    <w:rsid w:val="003066C7"/>
    <w:rsid w:val="003107FA"/>
    <w:rsid w:val="003108AB"/>
    <w:rsid w:val="00312332"/>
    <w:rsid w:val="00313BB7"/>
    <w:rsid w:val="00315D28"/>
    <w:rsid w:val="00315D79"/>
    <w:rsid w:val="00322461"/>
    <w:rsid w:val="003229D8"/>
    <w:rsid w:val="00326C95"/>
    <w:rsid w:val="00331F0B"/>
    <w:rsid w:val="0033262B"/>
    <w:rsid w:val="003335E1"/>
    <w:rsid w:val="00344F5B"/>
    <w:rsid w:val="003456B9"/>
    <w:rsid w:val="00351565"/>
    <w:rsid w:val="00351568"/>
    <w:rsid w:val="003546C2"/>
    <w:rsid w:val="00357E9F"/>
    <w:rsid w:val="00362A1F"/>
    <w:rsid w:val="003665FC"/>
    <w:rsid w:val="003710F6"/>
    <w:rsid w:val="00371B04"/>
    <w:rsid w:val="00377DEC"/>
    <w:rsid w:val="00381B80"/>
    <w:rsid w:val="0039277A"/>
    <w:rsid w:val="0039527A"/>
    <w:rsid w:val="00395BD1"/>
    <w:rsid w:val="00396D66"/>
    <w:rsid w:val="003972E0"/>
    <w:rsid w:val="003A3758"/>
    <w:rsid w:val="003A565B"/>
    <w:rsid w:val="003A7698"/>
    <w:rsid w:val="003C2CC4"/>
    <w:rsid w:val="003C7385"/>
    <w:rsid w:val="003D0776"/>
    <w:rsid w:val="003D2931"/>
    <w:rsid w:val="003D3710"/>
    <w:rsid w:val="003D4B23"/>
    <w:rsid w:val="003D590D"/>
    <w:rsid w:val="003E3784"/>
    <w:rsid w:val="003F111F"/>
    <w:rsid w:val="003F1600"/>
    <w:rsid w:val="003F2EA1"/>
    <w:rsid w:val="00406D30"/>
    <w:rsid w:val="0041099C"/>
    <w:rsid w:val="0041379E"/>
    <w:rsid w:val="00414E3D"/>
    <w:rsid w:val="00415213"/>
    <w:rsid w:val="004170E9"/>
    <w:rsid w:val="004243E2"/>
    <w:rsid w:val="004325CB"/>
    <w:rsid w:val="00432DBE"/>
    <w:rsid w:val="00435593"/>
    <w:rsid w:val="00444FE6"/>
    <w:rsid w:val="004464E0"/>
    <w:rsid w:val="00446DE4"/>
    <w:rsid w:val="004474BB"/>
    <w:rsid w:val="004478B2"/>
    <w:rsid w:val="00452E3C"/>
    <w:rsid w:val="00457830"/>
    <w:rsid w:val="00470F24"/>
    <w:rsid w:val="004746DF"/>
    <w:rsid w:val="004769AE"/>
    <w:rsid w:val="00477CE1"/>
    <w:rsid w:val="00477F15"/>
    <w:rsid w:val="00480DD8"/>
    <w:rsid w:val="00486835"/>
    <w:rsid w:val="00490D27"/>
    <w:rsid w:val="00491967"/>
    <w:rsid w:val="004A0888"/>
    <w:rsid w:val="004A2B44"/>
    <w:rsid w:val="004A3431"/>
    <w:rsid w:val="004A41CA"/>
    <w:rsid w:val="004B4582"/>
    <w:rsid w:val="004B7FC9"/>
    <w:rsid w:val="004D6867"/>
    <w:rsid w:val="004E79B7"/>
    <w:rsid w:val="004F1AA7"/>
    <w:rsid w:val="0050370D"/>
    <w:rsid w:val="005127DD"/>
    <w:rsid w:val="00530691"/>
    <w:rsid w:val="00540E79"/>
    <w:rsid w:val="005420F2"/>
    <w:rsid w:val="00542D8C"/>
    <w:rsid w:val="00556469"/>
    <w:rsid w:val="005574C4"/>
    <w:rsid w:val="00563C26"/>
    <w:rsid w:val="00570C45"/>
    <w:rsid w:val="00570ED7"/>
    <w:rsid w:val="00571DD3"/>
    <w:rsid w:val="0057590D"/>
    <w:rsid w:val="00575DBB"/>
    <w:rsid w:val="00576064"/>
    <w:rsid w:val="0059667B"/>
    <w:rsid w:val="00597B2E"/>
    <w:rsid w:val="005A1ED0"/>
    <w:rsid w:val="005A3B49"/>
    <w:rsid w:val="005B2C21"/>
    <w:rsid w:val="005B3DB3"/>
    <w:rsid w:val="005B618C"/>
    <w:rsid w:val="005C0F8D"/>
    <w:rsid w:val="005D7A78"/>
    <w:rsid w:val="005E4ACD"/>
    <w:rsid w:val="005E5C16"/>
    <w:rsid w:val="005E74C7"/>
    <w:rsid w:val="005F0D1D"/>
    <w:rsid w:val="005F4C7C"/>
    <w:rsid w:val="00600E8D"/>
    <w:rsid w:val="00605DA6"/>
    <w:rsid w:val="00611EB3"/>
    <w:rsid w:val="00611FC4"/>
    <w:rsid w:val="00616193"/>
    <w:rsid w:val="0061628C"/>
    <w:rsid w:val="006176FB"/>
    <w:rsid w:val="006257B4"/>
    <w:rsid w:val="00626CE1"/>
    <w:rsid w:val="00627ED0"/>
    <w:rsid w:val="006303CB"/>
    <w:rsid w:val="00630BA0"/>
    <w:rsid w:val="00637580"/>
    <w:rsid w:val="00640B26"/>
    <w:rsid w:val="00641C60"/>
    <w:rsid w:val="00650E27"/>
    <w:rsid w:val="00652599"/>
    <w:rsid w:val="00654901"/>
    <w:rsid w:val="00662121"/>
    <w:rsid w:val="00664DB4"/>
    <w:rsid w:val="00665595"/>
    <w:rsid w:val="00676B57"/>
    <w:rsid w:val="00684973"/>
    <w:rsid w:val="00684A71"/>
    <w:rsid w:val="0068569C"/>
    <w:rsid w:val="0068630D"/>
    <w:rsid w:val="006916B6"/>
    <w:rsid w:val="006A2E68"/>
    <w:rsid w:val="006A7392"/>
    <w:rsid w:val="006B73CB"/>
    <w:rsid w:val="006C2545"/>
    <w:rsid w:val="006C2B40"/>
    <w:rsid w:val="006C3CCF"/>
    <w:rsid w:val="006C5085"/>
    <w:rsid w:val="006D05B7"/>
    <w:rsid w:val="006D41C7"/>
    <w:rsid w:val="006E0A73"/>
    <w:rsid w:val="006E2143"/>
    <w:rsid w:val="006E2762"/>
    <w:rsid w:val="006E564B"/>
    <w:rsid w:val="006F2397"/>
    <w:rsid w:val="006F2455"/>
    <w:rsid w:val="006F74DD"/>
    <w:rsid w:val="007005CE"/>
    <w:rsid w:val="007008CD"/>
    <w:rsid w:val="0070799D"/>
    <w:rsid w:val="007101D4"/>
    <w:rsid w:val="007232A9"/>
    <w:rsid w:val="0072332E"/>
    <w:rsid w:val="0072534B"/>
    <w:rsid w:val="0072632A"/>
    <w:rsid w:val="00734BB7"/>
    <w:rsid w:val="00736903"/>
    <w:rsid w:val="00742619"/>
    <w:rsid w:val="00747D37"/>
    <w:rsid w:val="007659F9"/>
    <w:rsid w:val="00765ADB"/>
    <w:rsid w:val="0077156C"/>
    <w:rsid w:val="00774160"/>
    <w:rsid w:val="00781D9E"/>
    <w:rsid w:val="00784C0B"/>
    <w:rsid w:val="00792B02"/>
    <w:rsid w:val="007939D7"/>
    <w:rsid w:val="007949E7"/>
    <w:rsid w:val="007A1923"/>
    <w:rsid w:val="007A4A30"/>
    <w:rsid w:val="007A4F5D"/>
    <w:rsid w:val="007A690C"/>
    <w:rsid w:val="007B451C"/>
    <w:rsid w:val="007B6BA5"/>
    <w:rsid w:val="007C1FBF"/>
    <w:rsid w:val="007C3390"/>
    <w:rsid w:val="007C4F4B"/>
    <w:rsid w:val="007C51A7"/>
    <w:rsid w:val="007E06A1"/>
    <w:rsid w:val="007E2C6D"/>
    <w:rsid w:val="007E3E91"/>
    <w:rsid w:val="007F0B83"/>
    <w:rsid w:val="007F1253"/>
    <w:rsid w:val="007F1924"/>
    <w:rsid w:val="007F1E0C"/>
    <w:rsid w:val="007F3747"/>
    <w:rsid w:val="007F6611"/>
    <w:rsid w:val="00803C67"/>
    <w:rsid w:val="00810DA6"/>
    <w:rsid w:val="008175E9"/>
    <w:rsid w:val="00817876"/>
    <w:rsid w:val="008242D7"/>
    <w:rsid w:val="00824CB2"/>
    <w:rsid w:val="008311A3"/>
    <w:rsid w:val="00840224"/>
    <w:rsid w:val="00840752"/>
    <w:rsid w:val="008416F1"/>
    <w:rsid w:val="00860878"/>
    <w:rsid w:val="00860F6A"/>
    <w:rsid w:val="00871FD5"/>
    <w:rsid w:val="008748B6"/>
    <w:rsid w:val="00876FB1"/>
    <w:rsid w:val="00882235"/>
    <w:rsid w:val="00885D51"/>
    <w:rsid w:val="00890560"/>
    <w:rsid w:val="008955CF"/>
    <w:rsid w:val="008979B1"/>
    <w:rsid w:val="008A342B"/>
    <w:rsid w:val="008A6B25"/>
    <w:rsid w:val="008A6C4F"/>
    <w:rsid w:val="008B04A7"/>
    <w:rsid w:val="008B1695"/>
    <w:rsid w:val="008B293B"/>
    <w:rsid w:val="008B2B62"/>
    <w:rsid w:val="008B4BA4"/>
    <w:rsid w:val="008B6D1F"/>
    <w:rsid w:val="008B748A"/>
    <w:rsid w:val="008B7A3C"/>
    <w:rsid w:val="008C112D"/>
    <w:rsid w:val="008C3D60"/>
    <w:rsid w:val="008D1186"/>
    <w:rsid w:val="008D74FE"/>
    <w:rsid w:val="008E0CB5"/>
    <w:rsid w:val="008E0E46"/>
    <w:rsid w:val="008E0FD0"/>
    <w:rsid w:val="008E4C40"/>
    <w:rsid w:val="008E4FCB"/>
    <w:rsid w:val="008E653C"/>
    <w:rsid w:val="008F1555"/>
    <w:rsid w:val="008F47A5"/>
    <w:rsid w:val="008F78EE"/>
    <w:rsid w:val="008F79B2"/>
    <w:rsid w:val="0090018A"/>
    <w:rsid w:val="00903522"/>
    <w:rsid w:val="009054C8"/>
    <w:rsid w:val="009074B7"/>
    <w:rsid w:val="00907AD2"/>
    <w:rsid w:val="00910DA1"/>
    <w:rsid w:val="00922B52"/>
    <w:rsid w:val="009258A7"/>
    <w:rsid w:val="00925E4E"/>
    <w:rsid w:val="00932CCA"/>
    <w:rsid w:val="00941D16"/>
    <w:rsid w:val="00942AF7"/>
    <w:rsid w:val="00943979"/>
    <w:rsid w:val="00953914"/>
    <w:rsid w:val="009559BE"/>
    <w:rsid w:val="00956253"/>
    <w:rsid w:val="00960935"/>
    <w:rsid w:val="00963B2C"/>
    <w:rsid w:val="00963CBA"/>
    <w:rsid w:val="009655B0"/>
    <w:rsid w:val="00967060"/>
    <w:rsid w:val="009670FC"/>
    <w:rsid w:val="009702DE"/>
    <w:rsid w:val="00973D8F"/>
    <w:rsid w:val="00974806"/>
    <w:rsid w:val="00974A8D"/>
    <w:rsid w:val="0097583C"/>
    <w:rsid w:val="00986F7D"/>
    <w:rsid w:val="00991261"/>
    <w:rsid w:val="009959C4"/>
    <w:rsid w:val="009A1E28"/>
    <w:rsid w:val="009A2C97"/>
    <w:rsid w:val="009A60AE"/>
    <w:rsid w:val="009C01F9"/>
    <w:rsid w:val="009C43CE"/>
    <w:rsid w:val="009C5909"/>
    <w:rsid w:val="009D19A1"/>
    <w:rsid w:val="009E3BCA"/>
    <w:rsid w:val="009E4FED"/>
    <w:rsid w:val="009E7C2A"/>
    <w:rsid w:val="009F22A1"/>
    <w:rsid w:val="009F3235"/>
    <w:rsid w:val="009F3A17"/>
    <w:rsid w:val="009F700D"/>
    <w:rsid w:val="00A04025"/>
    <w:rsid w:val="00A11821"/>
    <w:rsid w:val="00A11B5C"/>
    <w:rsid w:val="00A1427D"/>
    <w:rsid w:val="00A14809"/>
    <w:rsid w:val="00A200CB"/>
    <w:rsid w:val="00A20656"/>
    <w:rsid w:val="00A2133E"/>
    <w:rsid w:val="00A21ADA"/>
    <w:rsid w:val="00A25656"/>
    <w:rsid w:val="00A31877"/>
    <w:rsid w:val="00A36609"/>
    <w:rsid w:val="00A37805"/>
    <w:rsid w:val="00A37D88"/>
    <w:rsid w:val="00A40F37"/>
    <w:rsid w:val="00A41436"/>
    <w:rsid w:val="00A4594D"/>
    <w:rsid w:val="00A46689"/>
    <w:rsid w:val="00A50F86"/>
    <w:rsid w:val="00A51BC0"/>
    <w:rsid w:val="00A609FF"/>
    <w:rsid w:val="00A7150E"/>
    <w:rsid w:val="00A72F22"/>
    <w:rsid w:val="00A73266"/>
    <w:rsid w:val="00A748A6"/>
    <w:rsid w:val="00A77059"/>
    <w:rsid w:val="00A86AE6"/>
    <w:rsid w:val="00A879A4"/>
    <w:rsid w:val="00A9232E"/>
    <w:rsid w:val="00A946CA"/>
    <w:rsid w:val="00AA6374"/>
    <w:rsid w:val="00AA6771"/>
    <w:rsid w:val="00AB371B"/>
    <w:rsid w:val="00AB3955"/>
    <w:rsid w:val="00AB67D8"/>
    <w:rsid w:val="00AC25AA"/>
    <w:rsid w:val="00AC28CC"/>
    <w:rsid w:val="00AD1131"/>
    <w:rsid w:val="00AD3069"/>
    <w:rsid w:val="00AD4202"/>
    <w:rsid w:val="00AD4C72"/>
    <w:rsid w:val="00AE03E2"/>
    <w:rsid w:val="00AE3ADD"/>
    <w:rsid w:val="00AE4883"/>
    <w:rsid w:val="00AE5E5C"/>
    <w:rsid w:val="00AF2814"/>
    <w:rsid w:val="00AF7011"/>
    <w:rsid w:val="00B00D1E"/>
    <w:rsid w:val="00B02F9D"/>
    <w:rsid w:val="00B056AC"/>
    <w:rsid w:val="00B06459"/>
    <w:rsid w:val="00B10F56"/>
    <w:rsid w:val="00B1725F"/>
    <w:rsid w:val="00B20020"/>
    <w:rsid w:val="00B20D2F"/>
    <w:rsid w:val="00B222CE"/>
    <w:rsid w:val="00B223E6"/>
    <w:rsid w:val="00B23423"/>
    <w:rsid w:val="00B27AF8"/>
    <w:rsid w:val="00B30179"/>
    <w:rsid w:val="00B31FDF"/>
    <w:rsid w:val="00B33EC0"/>
    <w:rsid w:val="00B4049C"/>
    <w:rsid w:val="00B44C3B"/>
    <w:rsid w:val="00B44CE5"/>
    <w:rsid w:val="00B457B6"/>
    <w:rsid w:val="00B47D95"/>
    <w:rsid w:val="00B507C6"/>
    <w:rsid w:val="00B5298B"/>
    <w:rsid w:val="00B637B2"/>
    <w:rsid w:val="00B64581"/>
    <w:rsid w:val="00B66ADA"/>
    <w:rsid w:val="00B67ABF"/>
    <w:rsid w:val="00B81E12"/>
    <w:rsid w:val="00B90B4C"/>
    <w:rsid w:val="00B92736"/>
    <w:rsid w:val="00B94D41"/>
    <w:rsid w:val="00BA0659"/>
    <w:rsid w:val="00BA3A0E"/>
    <w:rsid w:val="00BB005C"/>
    <w:rsid w:val="00BB090B"/>
    <w:rsid w:val="00BB14F5"/>
    <w:rsid w:val="00BB476A"/>
    <w:rsid w:val="00BC0578"/>
    <w:rsid w:val="00BC1969"/>
    <w:rsid w:val="00BC74E9"/>
    <w:rsid w:val="00BD07EF"/>
    <w:rsid w:val="00BD2118"/>
    <w:rsid w:val="00BD3BC7"/>
    <w:rsid w:val="00BD40D7"/>
    <w:rsid w:val="00BD5687"/>
    <w:rsid w:val="00BE4F74"/>
    <w:rsid w:val="00BE5A5B"/>
    <w:rsid w:val="00BE618E"/>
    <w:rsid w:val="00BE6E1E"/>
    <w:rsid w:val="00BF0CCD"/>
    <w:rsid w:val="00BF0FED"/>
    <w:rsid w:val="00BF7294"/>
    <w:rsid w:val="00BF7830"/>
    <w:rsid w:val="00C02599"/>
    <w:rsid w:val="00C043D8"/>
    <w:rsid w:val="00C11B1F"/>
    <w:rsid w:val="00C11B6B"/>
    <w:rsid w:val="00C132E0"/>
    <w:rsid w:val="00C135B2"/>
    <w:rsid w:val="00C13DF7"/>
    <w:rsid w:val="00C15F69"/>
    <w:rsid w:val="00C16D37"/>
    <w:rsid w:val="00C20C2F"/>
    <w:rsid w:val="00C25EEA"/>
    <w:rsid w:val="00C329F8"/>
    <w:rsid w:val="00C4245C"/>
    <w:rsid w:val="00C43863"/>
    <w:rsid w:val="00C463DD"/>
    <w:rsid w:val="00C51B54"/>
    <w:rsid w:val="00C51E82"/>
    <w:rsid w:val="00C56AF9"/>
    <w:rsid w:val="00C62271"/>
    <w:rsid w:val="00C67CEE"/>
    <w:rsid w:val="00C728BC"/>
    <w:rsid w:val="00C745C3"/>
    <w:rsid w:val="00C7649E"/>
    <w:rsid w:val="00C82F62"/>
    <w:rsid w:val="00C84722"/>
    <w:rsid w:val="00C85A4D"/>
    <w:rsid w:val="00C869FC"/>
    <w:rsid w:val="00C97AA3"/>
    <w:rsid w:val="00CA6EE6"/>
    <w:rsid w:val="00CB0D4B"/>
    <w:rsid w:val="00CB62DC"/>
    <w:rsid w:val="00CC0BB1"/>
    <w:rsid w:val="00CD2F3E"/>
    <w:rsid w:val="00CD709B"/>
    <w:rsid w:val="00CE4A8F"/>
    <w:rsid w:val="00CE52F1"/>
    <w:rsid w:val="00CE55A0"/>
    <w:rsid w:val="00CE64E3"/>
    <w:rsid w:val="00CE6C07"/>
    <w:rsid w:val="00CF30B7"/>
    <w:rsid w:val="00CF7747"/>
    <w:rsid w:val="00D13424"/>
    <w:rsid w:val="00D13DDD"/>
    <w:rsid w:val="00D2031B"/>
    <w:rsid w:val="00D21600"/>
    <w:rsid w:val="00D25FA9"/>
    <w:rsid w:val="00D25FE2"/>
    <w:rsid w:val="00D26D88"/>
    <w:rsid w:val="00D317BB"/>
    <w:rsid w:val="00D431CD"/>
    <w:rsid w:val="00D43252"/>
    <w:rsid w:val="00D46FD2"/>
    <w:rsid w:val="00D63758"/>
    <w:rsid w:val="00D715F1"/>
    <w:rsid w:val="00D73911"/>
    <w:rsid w:val="00D80302"/>
    <w:rsid w:val="00D80DC3"/>
    <w:rsid w:val="00D968F0"/>
    <w:rsid w:val="00D96ADE"/>
    <w:rsid w:val="00D9789E"/>
    <w:rsid w:val="00D978C6"/>
    <w:rsid w:val="00D97D35"/>
    <w:rsid w:val="00DA47F0"/>
    <w:rsid w:val="00DA5788"/>
    <w:rsid w:val="00DA665D"/>
    <w:rsid w:val="00DA67AD"/>
    <w:rsid w:val="00DA7839"/>
    <w:rsid w:val="00DB0F0D"/>
    <w:rsid w:val="00DC1A9F"/>
    <w:rsid w:val="00DC1FA9"/>
    <w:rsid w:val="00DC242D"/>
    <w:rsid w:val="00DC31C0"/>
    <w:rsid w:val="00DC37BE"/>
    <w:rsid w:val="00DD1051"/>
    <w:rsid w:val="00DD4098"/>
    <w:rsid w:val="00DE10AB"/>
    <w:rsid w:val="00DE7B9F"/>
    <w:rsid w:val="00DF12F7"/>
    <w:rsid w:val="00DF454A"/>
    <w:rsid w:val="00E01163"/>
    <w:rsid w:val="00E02C81"/>
    <w:rsid w:val="00E04FFD"/>
    <w:rsid w:val="00E0678D"/>
    <w:rsid w:val="00E06E91"/>
    <w:rsid w:val="00E11495"/>
    <w:rsid w:val="00E130AB"/>
    <w:rsid w:val="00E134E2"/>
    <w:rsid w:val="00E13ABB"/>
    <w:rsid w:val="00E16B8A"/>
    <w:rsid w:val="00E208C8"/>
    <w:rsid w:val="00E219E8"/>
    <w:rsid w:val="00E23842"/>
    <w:rsid w:val="00E2603D"/>
    <w:rsid w:val="00E316B3"/>
    <w:rsid w:val="00E4080E"/>
    <w:rsid w:val="00E40F25"/>
    <w:rsid w:val="00E43501"/>
    <w:rsid w:val="00E436B1"/>
    <w:rsid w:val="00E4538E"/>
    <w:rsid w:val="00E46A32"/>
    <w:rsid w:val="00E47334"/>
    <w:rsid w:val="00E5203C"/>
    <w:rsid w:val="00E55FE5"/>
    <w:rsid w:val="00E57021"/>
    <w:rsid w:val="00E625A2"/>
    <w:rsid w:val="00E62C9D"/>
    <w:rsid w:val="00E631A9"/>
    <w:rsid w:val="00E6376C"/>
    <w:rsid w:val="00E668E9"/>
    <w:rsid w:val="00E7260F"/>
    <w:rsid w:val="00E73015"/>
    <w:rsid w:val="00E7325B"/>
    <w:rsid w:val="00E76B60"/>
    <w:rsid w:val="00E76ED5"/>
    <w:rsid w:val="00E82F77"/>
    <w:rsid w:val="00E83329"/>
    <w:rsid w:val="00E87921"/>
    <w:rsid w:val="00E905FF"/>
    <w:rsid w:val="00E90FAC"/>
    <w:rsid w:val="00E91D69"/>
    <w:rsid w:val="00E93B2B"/>
    <w:rsid w:val="00E96630"/>
    <w:rsid w:val="00E96E4F"/>
    <w:rsid w:val="00EA0391"/>
    <w:rsid w:val="00EA39EE"/>
    <w:rsid w:val="00EA5D13"/>
    <w:rsid w:val="00EB29AF"/>
    <w:rsid w:val="00EB2C89"/>
    <w:rsid w:val="00ED29F7"/>
    <w:rsid w:val="00ED7A2A"/>
    <w:rsid w:val="00EE4F72"/>
    <w:rsid w:val="00EE7280"/>
    <w:rsid w:val="00EF1D7F"/>
    <w:rsid w:val="00EF215B"/>
    <w:rsid w:val="00EF45C0"/>
    <w:rsid w:val="00EF49A8"/>
    <w:rsid w:val="00F00879"/>
    <w:rsid w:val="00F126D8"/>
    <w:rsid w:val="00F14CE0"/>
    <w:rsid w:val="00F1616A"/>
    <w:rsid w:val="00F16FF7"/>
    <w:rsid w:val="00F229A0"/>
    <w:rsid w:val="00F2663A"/>
    <w:rsid w:val="00F307CA"/>
    <w:rsid w:val="00F34369"/>
    <w:rsid w:val="00F34F8C"/>
    <w:rsid w:val="00F410F5"/>
    <w:rsid w:val="00F53EDA"/>
    <w:rsid w:val="00F61A5F"/>
    <w:rsid w:val="00F622DB"/>
    <w:rsid w:val="00F66DA1"/>
    <w:rsid w:val="00F678A8"/>
    <w:rsid w:val="00F72FCD"/>
    <w:rsid w:val="00F7753D"/>
    <w:rsid w:val="00F838B5"/>
    <w:rsid w:val="00F84D8A"/>
    <w:rsid w:val="00F85306"/>
    <w:rsid w:val="00F85F34"/>
    <w:rsid w:val="00F9054F"/>
    <w:rsid w:val="00F932CA"/>
    <w:rsid w:val="00F96B49"/>
    <w:rsid w:val="00F97A77"/>
    <w:rsid w:val="00FA06F7"/>
    <w:rsid w:val="00FA14EA"/>
    <w:rsid w:val="00FB1138"/>
    <w:rsid w:val="00FB171A"/>
    <w:rsid w:val="00FB2C1E"/>
    <w:rsid w:val="00FB5952"/>
    <w:rsid w:val="00FB6EFF"/>
    <w:rsid w:val="00FB7C21"/>
    <w:rsid w:val="00FC0DB9"/>
    <w:rsid w:val="00FC68B7"/>
    <w:rsid w:val="00FD088D"/>
    <w:rsid w:val="00FD2B55"/>
    <w:rsid w:val="00FD4BBD"/>
    <w:rsid w:val="00FD5016"/>
    <w:rsid w:val="00FD7BF6"/>
    <w:rsid w:val="00FE4CB4"/>
    <w:rsid w:val="00FE7EC5"/>
    <w:rsid w:val="00FF067A"/>
    <w:rsid w:val="00FF1B15"/>
    <w:rsid w:val="00FF4FB8"/>
    <w:rsid w:val="00FF75A4"/>
  </w:rsids>
  <m:mathPr>
    <m:mathFont m:val="Cambria Math"/>
    <m:brkBin m:val="before"/>
    <m:brkBinSub m:val="--"/>
    <m:smallFrac m:val="0"/>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7BA377D"/>
  <w15:docId w15:val="{BDC74254-037E-4A12-88BC-EFECE361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val="en-GB"/>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pPr>
      <w:keepNext/>
      <w:keepLines/>
      <w:tabs>
        <w:tab w:val="right" w:pos="851"/>
      </w:tabs>
      <w:spacing w:before="360" w:after="240" w:line="300" w:lineRule="exact"/>
      <w:ind w:left="1134" w:right="1134" w:hanging="1134"/>
    </w:pPr>
    <w:rPr>
      <w:b/>
      <w:sz w:val="28"/>
    </w:rPr>
  </w:style>
  <w:style w:type="paragraph" w:customStyle="1" w:styleId="ParaNoG">
    <w:name w:val="_ParaNo._G"/>
    <w:basedOn w:val="SingleTxtG"/>
    <w:pPr>
      <w:numPr>
        <w:numId w:val="13"/>
      </w:numPr>
      <w:tabs>
        <w:tab w:val="clear" w:pos="1494"/>
      </w:tabs>
    </w:pPr>
  </w:style>
  <w:style w:type="paragraph" w:customStyle="1" w:styleId="SingleTxtG">
    <w:name w:val="_ Single Txt_G"/>
    <w:basedOn w:val="Normal"/>
    <w:link w:val="SingleTxtGChar"/>
    <w:qFormat/>
    <w:pPr>
      <w:spacing w:after="120"/>
      <w:ind w:left="1134" w:right="1134"/>
      <w:jc w:val="both"/>
    </w:pPr>
  </w:style>
  <w:style w:type="character" w:styleId="PageNumber">
    <w:name w:val="page number"/>
    <w:aliases w:val="7_G"/>
    <w:rsid w:val="008979B1"/>
    <w:rPr>
      <w:rFonts w:ascii="Times New Roman" w:hAnsi="Times New Roman"/>
      <w:b/>
      <w:sz w:val="18"/>
    </w:r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rsid w:val="007B6BA5"/>
    <w:rPr>
      <w:rFonts w:ascii="Times New Roman" w:hAnsi="Times New Roman"/>
      <w:sz w:val="18"/>
      <w:vertAlign w:val="superscript"/>
    </w:rPr>
  </w:style>
  <w:style w:type="character" w:styleId="FootnoteReference">
    <w:name w:val="footnote reference"/>
    <w:aliases w:val="4_G"/>
    <w:rsid w:val="007B6BA5"/>
    <w:rPr>
      <w:rFonts w:ascii="Times New Roman" w:hAnsi="Times New Roman"/>
      <w:sz w:val="18"/>
      <w:vertAlign w:val="superscript"/>
    </w:rPr>
  </w:style>
  <w:style w:type="paragraph" w:styleId="FootnoteText">
    <w:name w:val="footnote text"/>
    <w:aliases w:val="5_G"/>
    <w:basedOn w:val="Normal"/>
    <w:rsid w:val="00974A8D"/>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customStyle="1" w:styleId="Bullet1G">
    <w:name w:val="_Bullet 1_G"/>
    <w:basedOn w:val="Normal"/>
    <w:rsid w:val="0072632A"/>
    <w:pPr>
      <w:numPr>
        <w:numId w:val="11"/>
      </w:numPr>
      <w:spacing w:after="120"/>
      <w:ind w:right="1134"/>
      <w:jc w:val="both"/>
    </w:pPr>
  </w:style>
  <w:style w:type="paragraph" w:styleId="EndnoteText">
    <w:name w:val="endnote text"/>
    <w:aliases w:val="2_G"/>
    <w:basedOn w:val="FootnoteText"/>
    <w:rsid w:val="007B6BA5"/>
  </w:style>
  <w:style w:type="character" w:styleId="CommentReference">
    <w:name w:val="annotation reference"/>
    <w:semiHidden/>
    <w:rPr>
      <w:sz w:val="6"/>
    </w:rPr>
  </w:style>
  <w:style w:type="paragraph" w:styleId="CommentText">
    <w:name w:val="annotation text"/>
    <w:basedOn w:val="Normal"/>
    <w:link w:val="CommentTextChar"/>
    <w:semiHidden/>
  </w:style>
  <w:style w:type="character" w:styleId="LineNumber">
    <w:name w:val="line number"/>
    <w:semiHidden/>
    <w:rPr>
      <w:sz w:val="14"/>
    </w:rPr>
  </w:style>
  <w:style w:type="paragraph" w:customStyle="1" w:styleId="Bullet2G">
    <w:name w:val="_Bullet 2_G"/>
    <w:basedOn w:val="Normal"/>
    <w:rsid w:val="003C2CC4"/>
    <w:pPr>
      <w:numPr>
        <w:numId w:val="12"/>
      </w:numPr>
      <w:spacing w:after="120"/>
      <w:ind w:right="1134"/>
      <w:jc w:val="both"/>
    </w:pPr>
  </w:style>
  <w:style w:type="paragraph" w:customStyle="1" w:styleId="H1G">
    <w:name w:val="_ H_1_G"/>
    <w:basedOn w:val="Normal"/>
    <w:next w:val="Normal"/>
    <w:link w:val="H1GChar"/>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pPr>
      <w:keepNext/>
      <w:keepLines/>
      <w:tabs>
        <w:tab w:val="right" w:pos="851"/>
      </w:tabs>
      <w:spacing w:before="240" w:after="120" w:line="240" w:lineRule="exact"/>
      <w:ind w:left="1134" w:right="1134" w:hanging="1134"/>
    </w:pPr>
  </w:style>
  <w:style w:type="numbering" w:styleId="111111">
    <w:name w:val="Outline List 2"/>
    <w:basedOn w:val="NoList"/>
    <w:semiHidden/>
    <w:rsid w:val="008A6C4F"/>
    <w:pPr>
      <w:numPr>
        <w:numId w:val="14"/>
      </w:numPr>
    </w:pPr>
  </w:style>
  <w:style w:type="numbering" w:styleId="1ai">
    <w:name w:val="Outline List 1"/>
    <w:basedOn w:val="NoList"/>
    <w:semiHidden/>
    <w:rsid w:val="008A6C4F"/>
    <w:pPr>
      <w:numPr>
        <w:numId w:val="15"/>
      </w:numPr>
    </w:pPr>
  </w:style>
  <w:style w:type="numbering" w:styleId="ArticleSection">
    <w:name w:val="Outline List 3"/>
    <w:basedOn w:val="NoList"/>
    <w:semiHidden/>
    <w:rsid w:val="008A6C4F"/>
    <w:pPr>
      <w:numPr>
        <w:numId w:val="16"/>
      </w:numPr>
    </w:pPr>
  </w:style>
  <w:style w:type="paragraph" w:styleId="BodyText2">
    <w:name w:val="Body Text 2"/>
    <w:basedOn w:val="Normal"/>
    <w:semiHidden/>
    <w:rsid w:val="008A6C4F"/>
    <w:pPr>
      <w:spacing w:after="120" w:line="480" w:lineRule="auto"/>
    </w:pPr>
  </w:style>
  <w:style w:type="paragraph" w:styleId="BodyText3">
    <w:name w:val="Body Text 3"/>
    <w:basedOn w:val="Normal"/>
    <w:semiHidden/>
    <w:rsid w:val="008A6C4F"/>
    <w:pPr>
      <w:spacing w:after="120"/>
    </w:pPr>
    <w:rPr>
      <w:sz w:val="16"/>
      <w:szCs w:val="16"/>
    </w:rPr>
  </w:style>
  <w:style w:type="paragraph" w:styleId="BodyTextFirstIndent">
    <w:name w:val="Body Text First Indent"/>
    <w:basedOn w:val="BodyText"/>
    <w:semiHidden/>
    <w:rsid w:val="008A6C4F"/>
    <w:pPr>
      <w:spacing w:after="120"/>
      <w:ind w:firstLine="210"/>
    </w:pPr>
  </w:style>
  <w:style w:type="paragraph" w:styleId="BodyTextFirstIndent2">
    <w:name w:val="Body Text First Indent 2"/>
    <w:basedOn w:val="BodyTextIndent"/>
    <w:semiHidden/>
    <w:rsid w:val="008A6C4F"/>
    <w:pPr>
      <w:ind w:firstLine="210"/>
    </w:pPr>
  </w:style>
  <w:style w:type="paragraph" w:styleId="BodyTextIndent2">
    <w:name w:val="Body Text Indent 2"/>
    <w:basedOn w:val="Normal"/>
    <w:semiHidden/>
    <w:rsid w:val="008A6C4F"/>
    <w:pPr>
      <w:spacing w:after="120" w:line="480" w:lineRule="auto"/>
      <w:ind w:left="283"/>
    </w:pPr>
  </w:style>
  <w:style w:type="paragraph" w:styleId="BodyTextIndent3">
    <w:name w:val="Body Text Indent 3"/>
    <w:basedOn w:val="Normal"/>
    <w:semiHidden/>
    <w:rsid w:val="008A6C4F"/>
    <w:pPr>
      <w:spacing w:after="120"/>
      <w:ind w:left="283"/>
    </w:pPr>
    <w:rPr>
      <w:sz w:val="16"/>
      <w:szCs w:val="16"/>
    </w:rPr>
  </w:style>
  <w:style w:type="paragraph" w:styleId="Closing">
    <w:name w:val="Closing"/>
    <w:basedOn w:val="Normal"/>
    <w:semiHidden/>
    <w:rsid w:val="008A6C4F"/>
    <w:pPr>
      <w:ind w:left="4252"/>
    </w:pPr>
  </w:style>
  <w:style w:type="paragraph" w:styleId="Date">
    <w:name w:val="Date"/>
    <w:basedOn w:val="Normal"/>
    <w:next w:val="Normal"/>
    <w:semiHidden/>
    <w:rsid w:val="008A6C4F"/>
  </w:style>
  <w:style w:type="paragraph" w:styleId="E-mailSignature">
    <w:name w:val="E-mail Signature"/>
    <w:basedOn w:val="Normal"/>
    <w:semiHidden/>
    <w:rsid w:val="008A6C4F"/>
  </w:style>
  <w:style w:type="character" w:styleId="Emphasis">
    <w:name w:val="Emphasis"/>
    <w:qFormat/>
    <w:rsid w:val="008A6C4F"/>
    <w:rPr>
      <w:i/>
      <w:iCs/>
    </w:rPr>
  </w:style>
  <w:style w:type="paragraph" w:styleId="EnvelopeReturn">
    <w:name w:val="envelope return"/>
    <w:basedOn w:val="Normal"/>
    <w:semiHidden/>
    <w:rsid w:val="008A6C4F"/>
    <w:rPr>
      <w:rFonts w:ascii="Arial" w:hAnsi="Arial" w:cs="Arial"/>
    </w:rPr>
  </w:style>
  <w:style w:type="character" w:styleId="FollowedHyperlink">
    <w:name w:val="FollowedHyperlink"/>
    <w:semiHidden/>
    <w:rsid w:val="008A6C4F"/>
    <w:rPr>
      <w:color w:val="800080"/>
      <w:u w:val="single"/>
    </w:rPr>
  </w:style>
  <w:style w:type="character" w:styleId="HTMLAcronym">
    <w:name w:val="HTML Acronym"/>
    <w:basedOn w:val="DefaultParagraphFont"/>
    <w:semiHidden/>
    <w:rsid w:val="008A6C4F"/>
  </w:style>
  <w:style w:type="paragraph" w:styleId="HTMLAddress">
    <w:name w:val="HTML Address"/>
    <w:basedOn w:val="Normal"/>
    <w:semiHidden/>
    <w:rsid w:val="008A6C4F"/>
    <w:rPr>
      <w:i/>
      <w:iCs/>
    </w:rPr>
  </w:style>
  <w:style w:type="character" w:styleId="HTMLCite">
    <w:name w:val="HTML Cite"/>
    <w:semiHidden/>
    <w:rsid w:val="008A6C4F"/>
    <w:rPr>
      <w:i/>
      <w:iCs/>
    </w:rPr>
  </w:style>
  <w:style w:type="character" w:styleId="HTMLCode">
    <w:name w:val="HTML Code"/>
    <w:semiHidden/>
    <w:rsid w:val="008A6C4F"/>
    <w:rPr>
      <w:rFonts w:ascii="Courier New" w:hAnsi="Courier New" w:cs="Courier New"/>
      <w:sz w:val="20"/>
      <w:szCs w:val="20"/>
    </w:rPr>
  </w:style>
  <w:style w:type="character" w:styleId="HTMLDefinition">
    <w:name w:val="HTML Definition"/>
    <w:semiHidden/>
    <w:rsid w:val="008A6C4F"/>
    <w:rPr>
      <w:i/>
      <w:iCs/>
    </w:rPr>
  </w:style>
  <w:style w:type="character" w:styleId="HTMLKeyboard">
    <w:name w:val="HTML Keyboard"/>
    <w:semiHidden/>
    <w:rsid w:val="008A6C4F"/>
    <w:rPr>
      <w:rFonts w:ascii="Courier New" w:hAnsi="Courier New" w:cs="Courier New"/>
      <w:sz w:val="20"/>
      <w:szCs w:val="20"/>
    </w:rPr>
  </w:style>
  <w:style w:type="paragraph" w:styleId="HTMLPreformatted">
    <w:name w:val="HTML Preformatted"/>
    <w:basedOn w:val="Normal"/>
    <w:semiHidden/>
    <w:rsid w:val="008A6C4F"/>
    <w:rPr>
      <w:rFonts w:ascii="Courier New" w:hAnsi="Courier New" w:cs="Courier New"/>
    </w:rPr>
  </w:style>
  <w:style w:type="character" w:styleId="HTMLSample">
    <w:name w:val="HTML Sample"/>
    <w:semiHidden/>
    <w:rsid w:val="008A6C4F"/>
    <w:rPr>
      <w:rFonts w:ascii="Courier New" w:hAnsi="Courier New" w:cs="Courier New"/>
    </w:rPr>
  </w:style>
  <w:style w:type="character" w:styleId="HTMLTypewriter">
    <w:name w:val="HTML Typewriter"/>
    <w:semiHidden/>
    <w:rsid w:val="008A6C4F"/>
    <w:rPr>
      <w:rFonts w:ascii="Courier New" w:hAnsi="Courier New" w:cs="Courier New"/>
      <w:sz w:val="20"/>
      <w:szCs w:val="20"/>
    </w:rPr>
  </w:style>
  <w:style w:type="character" w:styleId="HTMLVariable">
    <w:name w:val="HTML Variable"/>
    <w:semiHidden/>
    <w:rsid w:val="008A6C4F"/>
    <w:rPr>
      <w:i/>
      <w:iCs/>
    </w:rPr>
  </w:style>
  <w:style w:type="character" w:styleId="Hyperlink">
    <w:name w:val="Hyperlink"/>
    <w:semiHidden/>
    <w:rsid w:val="008A6C4F"/>
    <w:rPr>
      <w:color w:val="0000FF"/>
      <w:u w:val="single"/>
    </w:rPr>
  </w:style>
  <w:style w:type="paragraph" w:styleId="List">
    <w:name w:val="List"/>
    <w:basedOn w:val="Normal"/>
    <w:semiHidden/>
    <w:rsid w:val="008A6C4F"/>
    <w:pPr>
      <w:ind w:left="283" w:hanging="283"/>
    </w:pPr>
  </w:style>
  <w:style w:type="paragraph" w:styleId="List2">
    <w:name w:val="List 2"/>
    <w:basedOn w:val="Normal"/>
    <w:semiHidden/>
    <w:rsid w:val="008A6C4F"/>
    <w:pPr>
      <w:ind w:left="566" w:hanging="283"/>
    </w:pPr>
  </w:style>
  <w:style w:type="paragraph" w:styleId="List3">
    <w:name w:val="List 3"/>
    <w:basedOn w:val="Normal"/>
    <w:semiHidden/>
    <w:rsid w:val="008A6C4F"/>
    <w:pPr>
      <w:ind w:left="849" w:hanging="283"/>
    </w:pPr>
  </w:style>
  <w:style w:type="paragraph" w:styleId="List4">
    <w:name w:val="List 4"/>
    <w:basedOn w:val="Normal"/>
    <w:semiHidden/>
    <w:rsid w:val="008A6C4F"/>
    <w:pPr>
      <w:ind w:left="1132" w:hanging="283"/>
    </w:pPr>
  </w:style>
  <w:style w:type="paragraph" w:styleId="List5">
    <w:name w:val="List 5"/>
    <w:basedOn w:val="Normal"/>
    <w:semiHidden/>
    <w:rsid w:val="008A6C4F"/>
    <w:pPr>
      <w:ind w:left="1415" w:hanging="283"/>
    </w:pPr>
  </w:style>
  <w:style w:type="paragraph" w:styleId="ListBullet">
    <w:name w:val="List Bullet"/>
    <w:basedOn w:val="Normal"/>
    <w:semiHidden/>
    <w:rsid w:val="008A6C4F"/>
    <w:pPr>
      <w:numPr>
        <w:numId w:val="6"/>
      </w:numPr>
    </w:pPr>
  </w:style>
  <w:style w:type="paragraph" w:styleId="ListBullet2">
    <w:name w:val="List Bullet 2"/>
    <w:basedOn w:val="Normal"/>
    <w:semiHidden/>
    <w:rsid w:val="008A6C4F"/>
    <w:pPr>
      <w:numPr>
        <w:numId w:val="7"/>
      </w:numPr>
    </w:pPr>
  </w:style>
  <w:style w:type="paragraph" w:styleId="ListBullet3">
    <w:name w:val="List Bullet 3"/>
    <w:basedOn w:val="Normal"/>
    <w:semiHidden/>
    <w:rsid w:val="008A6C4F"/>
    <w:pPr>
      <w:numPr>
        <w:numId w:val="8"/>
      </w:numPr>
    </w:pPr>
  </w:style>
  <w:style w:type="paragraph" w:styleId="ListBullet4">
    <w:name w:val="List Bullet 4"/>
    <w:basedOn w:val="Normal"/>
    <w:semiHidden/>
    <w:rsid w:val="008A6C4F"/>
    <w:pPr>
      <w:numPr>
        <w:numId w:val="9"/>
      </w:numPr>
    </w:pPr>
  </w:style>
  <w:style w:type="paragraph" w:styleId="ListBullet5">
    <w:name w:val="List Bullet 5"/>
    <w:basedOn w:val="Normal"/>
    <w:semiHidden/>
    <w:rsid w:val="008A6C4F"/>
    <w:pPr>
      <w:numPr>
        <w:numId w:val="10"/>
      </w:numPr>
    </w:pPr>
  </w:style>
  <w:style w:type="paragraph" w:styleId="ListContinue">
    <w:name w:val="List Continue"/>
    <w:basedOn w:val="Normal"/>
    <w:semiHidden/>
    <w:rsid w:val="008A6C4F"/>
    <w:pPr>
      <w:spacing w:after="120"/>
      <w:ind w:left="283"/>
    </w:pPr>
  </w:style>
  <w:style w:type="paragraph" w:styleId="ListContinue2">
    <w:name w:val="List Continue 2"/>
    <w:basedOn w:val="Normal"/>
    <w:semiHidden/>
    <w:rsid w:val="008A6C4F"/>
    <w:pPr>
      <w:spacing w:after="120"/>
      <w:ind w:left="566"/>
    </w:pPr>
  </w:style>
  <w:style w:type="paragraph" w:styleId="ListContinue3">
    <w:name w:val="List Continue 3"/>
    <w:basedOn w:val="Normal"/>
    <w:semiHidden/>
    <w:rsid w:val="008A6C4F"/>
    <w:pPr>
      <w:spacing w:after="120"/>
      <w:ind w:left="849"/>
    </w:pPr>
  </w:style>
  <w:style w:type="paragraph" w:styleId="ListContinue4">
    <w:name w:val="List Continue 4"/>
    <w:basedOn w:val="Normal"/>
    <w:semiHidden/>
    <w:rsid w:val="008A6C4F"/>
    <w:pPr>
      <w:spacing w:after="120"/>
      <w:ind w:left="1132"/>
    </w:pPr>
  </w:style>
  <w:style w:type="paragraph" w:styleId="ListContinue5">
    <w:name w:val="List Continue 5"/>
    <w:basedOn w:val="Normal"/>
    <w:semiHidden/>
    <w:rsid w:val="008A6C4F"/>
    <w:pPr>
      <w:spacing w:after="120"/>
      <w:ind w:left="1415"/>
    </w:pPr>
  </w:style>
  <w:style w:type="paragraph" w:styleId="ListNumber">
    <w:name w:val="List Number"/>
    <w:basedOn w:val="Normal"/>
    <w:semiHidden/>
    <w:rsid w:val="008A6C4F"/>
    <w:pPr>
      <w:numPr>
        <w:numId w:val="5"/>
      </w:numPr>
    </w:pPr>
  </w:style>
  <w:style w:type="paragraph" w:styleId="ListNumber2">
    <w:name w:val="List Number 2"/>
    <w:basedOn w:val="Normal"/>
    <w:semiHidden/>
    <w:rsid w:val="008A6C4F"/>
    <w:pPr>
      <w:numPr>
        <w:numId w:val="4"/>
      </w:numPr>
    </w:pPr>
  </w:style>
  <w:style w:type="paragraph" w:styleId="ListNumber3">
    <w:name w:val="List Number 3"/>
    <w:basedOn w:val="Normal"/>
    <w:semiHidden/>
    <w:rsid w:val="008A6C4F"/>
    <w:pPr>
      <w:numPr>
        <w:numId w:val="3"/>
      </w:numPr>
    </w:pPr>
  </w:style>
  <w:style w:type="paragraph" w:styleId="ListNumber4">
    <w:name w:val="List Number 4"/>
    <w:basedOn w:val="Normal"/>
    <w:semiHidden/>
    <w:rsid w:val="008A6C4F"/>
    <w:pPr>
      <w:numPr>
        <w:numId w:val="1"/>
      </w:numPr>
    </w:pPr>
  </w:style>
  <w:style w:type="paragraph" w:styleId="ListNumber5">
    <w:name w:val="List Number 5"/>
    <w:basedOn w:val="Normal"/>
    <w:semiHidden/>
    <w:rsid w:val="008A6C4F"/>
    <w:pPr>
      <w:numPr>
        <w:numId w:val="2"/>
      </w:numPr>
    </w:pPr>
  </w:style>
  <w:style w:type="paragraph" w:styleId="MessageHeader">
    <w:name w:val="Message Header"/>
    <w:basedOn w:val="Normal"/>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semiHidden/>
    <w:rsid w:val="008A6C4F"/>
    <w:rPr>
      <w:sz w:val="24"/>
      <w:szCs w:val="24"/>
    </w:rPr>
  </w:style>
  <w:style w:type="paragraph" w:styleId="NormalIndent">
    <w:name w:val="Normal Indent"/>
    <w:basedOn w:val="Normal"/>
    <w:semiHidden/>
    <w:rsid w:val="008A6C4F"/>
    <w:pPr>
      <w:ind w:left="567"/>
    </w:pPr>
  </w:style>
  <w:style w:type="paragraph" w:styleId="NoteHeading">
    <w:name w:val="Note Heading"/>
    <w:basedOn w:val="Normal"/>
    <w:next w:val="Normal"/>
    <w:semiHidden/>
    <w:rsid w:val="008A6C4F"/>
  </w:style>
  <w:style w:type="paragraph" w:styleId="Salutation">
    <w:name w:val="Salutation"/>
    <w:basedOn w:val="Normal"/>
    <w:next w:val="Normal"/>
    <w:semiHidden/>
    <w:rsid w:val="008A6C4F"/>
  </w:style>
  <w:style w:type="paragraph" w:styleId="Signature">
    <w:name w:val="Signature"/>
    <w:basedOn w:val="Normal"/>
    <w:semiHidden/>
    <w:rsid w:val="008A6C4F"/>
    <w:pPr>
      <w:ind w:left="4252"/>
    </w:pPr>
  </w:style>
  <w:style w:type="character" w:styleId="Strong">
    <w:name w:val="Strong"/>
    <w:qFormat/>
    <w:rsid w:val="008A6C4F"/>
    <w:rPr>
      <w:b/>
      <w:bCs/>
    </w:rPr>
  </w:style>
  <w:style w:type="paragraph" w:styleId="Subtitle">
    <w:name w:val="Subtitle"/>
    <w:basedOn w:val="Normal"/>
    <w:qFormat/>
    <w:rsid w:val="008A6C4F"/>
    <w:pPr>
      <w:spacing w:after="60"/>
      <w:jc w:val="center"/>
      <w:outlineLvl w:val="1"/>
    </w:pPr>
    <w:rPr>
      <w:rFonts w:ascii="Arial" w:hAnsi="Arial" w:cs="Arial"/>
      <w:sz w:val="24"/>
      <w:szCs w:val="24"/>
    </w:rPr>
  </w:style>
  <w:style w:type="table" w:styleId="Table3Deffects1">
    <w:name w:val="Table 3D effects 1"/>
    <w:basedOn w:val="TableNormal"/>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8A6C4F"/>
    <w:pPr>
      <w:spacing w:before="240" w:after="60"/>
      <w:jc w:val="center"/>
      <w:outlineLvl w:val="0"/>
    </w:pPr>
    <w:rPr>
      <w:rFonts w:ascii="Arial" w:hAnsi="Arial" w:cs="Arial"/>
      <w:b/>
      <w:bCs/>
      <w:kern w:val="28"/>
      <w:sz w:val="32"/>
      <w:szCs w:val="32"/>
    </w:rPr>
  </w:style>
  <w:style w:type="paragraph" w:styleId="EnvelopeAddress">
    <w:name w:val="envelope address"/>
    <w:basedOn w:val="Normal"/>
    <w:semiHidden/>
    <w:rsid w:val="008A6C4F"/>
    <w:pPr>
      <w:framePr w:w="7920" w:h="1980" w:hRule="exact" w:hSpace="180" w:wrap="auto" w:hAnchor="page" w:xAlign="center" w:yAlign="bottom"/>
      <w:ind w:left="2880"/>
    </w:pPr>
    <w:rPr>
      <w:rFonts w:ascii="Arial" w:hAnsi="Arial" w:cs="Arial"/>
      <w:sz w:val="24"/>
      <w:szCs w:val="24"/>
    </w:rPr>
  </w:style>
  <w:style w:type="paragraph" w:styleId="Footer">
    <w:name w:val="footer"/>
    <w:aliases w:val="3_G"/>
    <w:basedOn w:val="Normal"/>
    <w:rsid w:val="00E87921"/>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styleId="BalloonText">
    <w:name w:val="Balloon Text"/>
    <w:basedOn w:val="Normal"/>
    <w:semiHidden/>
    <w:rsid w:val="00FF4FB8"/>
    <w:rPr>
      <w:rFonts w:ascii="Tahoma" w:hAnsi="Tahoma" w:cs="Tahoma"/>
      <w:sz w:val="16"/>
      <w:szCs w:val="16"/>
    </w:rPr>
  </w:style>
  <w:style w:type="character" w:customStyle="1" w:styleId="SingleTxtGChar">
    <w:name w:val="_ Single Txt_G Char"/>
    <w:link w:val="SingleTxtG"/>
    <w:locked/>
    <w:rsid w:val="00A77059"/>
    <w:rPr>
      <w:lang w:val="en-GB" w:eastAsia="en-US" w:bidi="ar-SA"/>
    </w:rPr>
  </w:style>
  <w:style w:type="character" w:customStyle="1" w:styleId="HChGChar">
    <w:name w:val="_ H _Ch_G Char"/>
    <w:link w:val="HChG"/>
    <w:rsid w:val="00371B04"/>
    <w:rPr>
      <w:b/>
      <w:sz w:val="28"/>
      <w:lang w:val="en-GB" w:eastAsia="en-US" w:bidi="ar-SA"/>
    </w:rPr>
  </w:style>
  <w:style w:type="character" w:customStyle="1" w:styleId="H1GChar">
    <w:name w:val="_ H_1_G Char"/>
    <w:link w:val="H1G"/>
    <w:locked/>
    <w:rsid w:val="00C82F62"/>
    <w:rPr>
      <w:b/>
      <w:sz w:val="24"/>
      <w:lang w:eastAsia="en-US"/>
    </w:rPr>
  </w:style>
  <w:style w:type="paragraph" w:styleId="ListParagraph">
    <w:name w:val="List Paragraph"/>
    <w:basedOn w:val="Normal"/>
    <w:uiPriority w:val="72"/>
    <w:rsid w:val="00734BB7"/>
    <w:pPr>
      <w:ind w:left="720"/>
      <w:contextualSpacing/>
    </w:pPr>
  </w:style>
  <w:style w:type="paragraph" w:customStyle="1" w:styleId="Default">
    <w:name w:val="Default"/>
    <w:rsid w:val="00960935"/>
    <w:pPr>
      <w:autoSpaceDE w:val="0"/>
      <w:autoSpaceDN w:val="0"/>
      <w:adjustRightInd w:val="0"/>
    </w:pPr>
    <w:rPr>
      <w:rFonts w:ascii="Arial" w:eastAsiaTheme="minorHAnsi" w:hAnsi="Arial" w:cs="Arial"/>
      <w:color w:val="000000"/>
      <w:sz w:val="24"/>
      <w:szCs w:val="24"/>
      <w:lang w:val="en-GB"/>
    </w:rPr>
  </w:style>
  <w:style w:type="paragraph" w:styleId="CommentSubject">
    <w:name w:val="annotation subject"/>
    <w:basedOn w:val="CommentText"/>
    <w:next w:val="CommentText"/>
    <w:link w:val="CommentSubjectChar"/>
    <w:rsid w:val="006C2B40"/>
    <w:pPr>
      <w:spacing w:line="240" w:lineRule="auto"/>
    </w:pPr>
    <w:rPr>
      <w:b/>
      <w:bCs/>
    </w:rPr>
  </w:style>
  <w:style w:type="character" w:customStyle="1" w:styleId="CommentTextChar">
    <w:name w:val="Comment Text Char"/>
    <w:basedOn w:val="DefaultParagraphFont"/>
    <w:link w:val="CommentText"/>
    <w:semiHidden/>
    <w:rsid w:val="006C2B40"/>
    <w:rPr>
      <w:lang w:val="en-GB"/>
    </w:rPr>
  </w:style>
  <w:style w:type="character" w:customStyle="1" w:styleId="CommentSubjectChar">
    <w:name w:val="Comment Subject Char"/>
    <w:basedOn w:val="CommentTextChar"/>
    <w:link w:val="CommentSubject"/>
    <w:rsid w:val="006C2B40"/>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1274">
      <w:bodyDiv w:val="1"/>
      <w:marLeft w:val="0"/>
      <w:marRight w:val="0"/>
      <w:marTop w:val="0"/>
      <w:marBottom w:val="0"/>
      <w:divBdr>
        <w:top w:val="none" w:sz="0" w:space="0" w:color="auto"/>
        <w:left w:val="none" w:sz="0" w:space="0" w:color="auto"/>
        <w:bottom w:val="none" w:sz="0" w:space="0" w:color="auto"/>
        <w:right w:val="none" w:sz="0" w:space="0" w:color="auto"/>
      </w:divBdr>
      <w:divsChild>
        <w:div w:id="425620430">
          <w:marLeft w:val="0"/>
          <w:marRight w:val="0"/>
          <w:marTop w:val="0"/>
          <w:marBottom w:val="0"/>
          <w:divBdr>
            <w:top w:val="none" w:sz="0" w:space="0" w:color="auto"/>
            <w:left w:val="none" w:sz="0" w:space="0" w:color="auto"/>
            <w:bottom w:val="none" w:sz="0" w:space="0" w:color="auto"/>
            <w:right w:val="none" w:sz="0" w:space="0" w:color="auto"/>
          </w:divBdr>
        </w:div>
        <w:div w:id="720863115">
          <w:marLeft w:val="0"/>
          <w:marRight w:val="0"/>
          <w:marTop w:val="0"/>
          <w:marBottom w:val="0"/>
          <w:divBdr>
            <w:top w:val="none" w:sz="0" w:space="0" w:color="auto"/>
            <w:left w:val="none" w:sz="0" w:space="0" w:color="auto"/>
            <w:bottom w:val="none" w:sz="0" w:space="0" w:color="auto"/>
            <w:right w:val="none" w:sz="0" w:space="0" w:color="auto"/>
          </w:divBdr>
        </w:div>
        <w:div w:id="826166084">
          <w:marLeft w:val="0"/>
          <w:marRight w:val="0"/>
          <w:marTop w:val="0"/>
          <w:marBottom w:val="0"/>
          <w:divBdr>
            <w:top w:val="none" w:sz="0" w:space="0" w:color="auto"/>
            <w:left w:val="none" w:sz="0" w:space="0" w:color="auto"/>
            <w:bottom w:val="none" w:sz="0" w:space="0" w:color="auto"/>
            <w:right w:val="none" w:sz="0" w:space="0" w:color="auto"/>
          </w:divBdr>
        </w:div>
        <w:div w:id="1402362449">
          <w:marLeft w:val="0"/>
          <w:marRight w:val="0"/>
          <w:marTop w:val="0"/>
          <w:marBottom w:val="0"/>
          <w:divBdr>
            <w:top w:val="none" w:sz="0" w:space="0" w:color="auto"/>
            <w:left w:val="none" w:sz="0" w:space="0" w:color="auto"/>
            <w:bottom w:val="none" w:sz="0" w:space="0" w:color="auto"/>
            <w:right w:val="none" w:sz="0" w:space="0" w:color="auto"/>
          </w:divBdr>
        </w:div>
        <w:div w:id="2081948662">
          <w:marLeft w:val="0"/>
          <w:marRight w:val="0"/>
          <w:marTop w:val="0"/>
          <w:marBottom w:val="0"/>
          <w:divBdr>
            <w:top w:val="none" w:sz="0" w:space="0" w:color="auto"/>
            <w:left w:val="none" w:sz="0" w:space="0" w:color="auto"/>
            <w:bottom w:val="none" w:sz="0" w:space="0" w:color="auto"/>
            <w:right w:val="none" w:sz="0" w:space="0" w:color="auto"/>
          </w:divBdr>
        </w:div>
        <w:div w:id="2089812916">
          <w:marLeft w:val="0"/>
          <w:marRight w:val="0"/>
          <w:marTop w:val="0"/>
          <w:marBottom w:val="0"/>
          <w:divBdr>
            <w:top w:val="none" w:sz="0" w:space="0" w:color="auto"/>
            <w:left w:val="none" w:sz="0" w:space="0" w:color="auto"/>
            <w:bottom w:val="none" w:sz="0" w:space="0" w:color="auto"/>
            <w:right w:val="none" w:sz="0" w:space="0" w:color="auto"/>
          </w:divBdr>
        </w:div>
      </w:divsChild>
    </w:div>
    <w:div w:id="190607987">
      <w:bodyDiv w:val="1"/>
      <w:marLeft w:val="0"/>
      <w:marRight w:val="0"/>
      <w:marTop w:val="0"/>
      <w:marBottom w:val="0"/>
      <w:divBdr>
        <w:top w:val="none" w:sz="0" w:space="0" w:color="auto"/>
        <w:left w:val="none" w:sz="0" w:space="0" w:color="auto"/>
        <w:bottom w:val="none" w:sz="0" w:space="0" w:color="auto"/>
        <w:right w:val="none" w:sz="0" w:space="0" w:color="auto"/>
      </w:divBdr>
      <w:divsChild>
        <w:div w:id="1057318562">
          <w:marLeft w:val="0"/>
          <w:marRight w:val="0"/>
          <w:marTop w:val="0"/>
          <w:marBottom w:val="0"/>
          <w:divBdr>
            <w:top w:val="none" w:sz="0" w:space="0" w:color="auto"/>
            <w:left w:val="none" w:sz="0" w:space="0" w:color="auto"/>
            <w:bottom w:val="none" w:sz="0" w:space="0" w:color="auto"/>
            <w:right w:val="none" w:sz="0" w:space="0" w:color="auto"/>
          </w:divBdr>
          <w:divsChild>
            <w:div w:id="1503467506">
              <w:marLeft w:val="0"/>
              <w:marRight w:val="0"/>
              <w:marTop w:val="0"/>
              <w:marBottom w:val="0"/>
              <w:divBdr>
                <w:top w:val="none" w:sz="0" w:space="0" w:color="auto"/>
                <w:left w:val="none" w:sz="0" w:space="0" w:color="auto"/>
                <w:bottom w:val="none" w:sz="0" w:space="0" w:color="auto"/>
                <w:right w:val="none" w:sz="0" w:space="0" w:color="auto"/>
              </w:divBdr>
              <w:divsChild>
                <w:div w:id="1312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55986">
      <w:bodyDiv w:val="1"/>
      <w:marLeft w:val="0"/>
      <w:marRight w:val="0"/>
      <w:marTop w:val="0"/>
      <w:marBottom w:val="0"/>
      <w:divBdr>
        <w:top w:val="none" w:sz="0" w:space="0" w:color="auto"/>
        <w:left w:val="none" w:sz="0" w:space="0" w:color="auto"/>
        <w:bottom w:val="none" w:sz="0" w:space="0" w:color="auto"/>
        <w:right w:val="none" w:sz="0" w:space="0" w:color="auto"/>
      </w:divBdr>
    </w:div>
    <w:div w:id="395320554">
      <w:bodyDiv w:val="1"/>
      <w:marLeft w:val="0"/>
      <w:marRight w:val="0"/>
      <w:marTop w:val="0"/>
      <w:marBottom w:val="0"/>
      <w:divBdr>
        <w:top w:val="none" w:sz="0" w:space="0" w:color="auto"/>
        <w:left w:val="none" w:sz="0" w:space="0" w:color="auto"/>
        <w:bottom w:val="none" w:sz="0" w:space="0" w:color="auto"/>
        <w:right w:val="none" w:sz="0" w:space="0" w:color="auto"/>
      </w:divBdr>
      <w:divsChild>
        <w:div w:id="1307858510">
          <w:marLeft w:val="0"/>
          <w:marRight w:val="0"/>
          <w:marTop w:val="0"/>
          <w:marBottom w:val="0"/>
          <w:divBdr>
            <w:top w:val="none" w:sz="0" w:space="0" w:color="auto"/>
            <w:left w:val="none" w:sz="0" w:space="0" w:color="auto"/>
            <w:bottom w:val="none" w:sz="0" w:space="0" w:color="auto"/>
            <w:right w:val="none" w:sz="0" w:space="0" w:color="auto"/>
          </w:divBdr>
          <w:divsChild>
            <w:div w:id="2065983961">
              <w:marLeft w:val="0"/>
              <w:marRight w:val="0"/>
              <w:marTop w:val="0"/>
              <w:marBottom w:val="0"/>
              <w:divBdr>
                <w:top w:val="none" w:sz="0" w:space="0" w:color="auto"/>
                <w:left w:val="none" w:sz="0" w:space="0" w:color="auto"/>
                <w:bottom w:val="none" w:sz="0" w:space="0" w:color="auto"/>
                <w:right w:val="none" w:sz="0" w:space="0" w:color="auto"/>
              </w:divBdr>
              <w:divsChild>
                <w:div w:id="2880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8220">
      <w:bodyDiv w:val="1"/>
      <w:marLeft w:val="0"/>
      <w:marRight w:val="0"/>
      <w:marTop w:val="0"/>
      <w:marBottom w:val="0"/>
      <w:divBdr>
        <w:top w:val="none" w:sz="0" w:space="0" w:color="auto"/>
        <w:left w:val="none" w:sz="0" w:space="0" w:color="auto"/>
        <w:bottom w:val="none" w:sz="0" w:space="0" w:color="auto"/>
        <w:right w:val="none" w:sz="0" w:space="0" w:color="auto"/>
      </w:divBdr>
      <w:divsChild>
        <w:div w:id="1524515185">
          <w:marLeft w:val="0"/>
          <w:marRight w:val="0"/>
          <w:marTop w:val="0"/>
          <w:marBottom w:val="0"/>
          <w:divBdr>
            <w:top w:val="none" w:sz="0" w:space="0" w:color="auto"/>
            <w:left w:val="none" w:sz="0" w:space="0" w:color="auto"/>
            <w:bottom w:val="none" w:sz="0" w:space="0" w:color="auto"/>
            <w:right w:val="none" w:sz="0" w:space="0" w:color="auto"/>
          </w:divBdr>
          <w:divsChild>
            <w:div w:id="876741051">
              <w:marLeft w:val="0"/>
              <w:marRight w:val="0"/>
              <w:marTop w:val="0"/>
              <w:marBottom w:val="0"/>
              <w:divBdr>
                <w:top w:val="none" w:sz="0" w:space="0" w:color="auto"/>
                <w:left w:val="none" w:sz="0" w:space="0" w:color="auto"/>
                <w:bottom w:val="none" w:sz="0" w:space="0" w:color="auto"/>
                <w:right w:val="none" w:sz="0" w:space="0" w:color="auto"/>
              </w:divBdr>
              <w:divsChild>
                <w:div w:id="87635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3114">
      <w:bodyDiv w:val="1"/>
      <w:marLeft w:val="0"/>
      <w:marRight w:val="0"/>
      <w:marTop w:val="0"/>
      <w:marBottom w:val="0"/>
      <w:divBdr>
        <w:top w:val="none" w:sz="0" w:space="0" w:color="auto"/>
        <w:left w:val="none" w:sz="0" w:space="0" w:color="auto"/>
        <w:bottom w:val="none" w:sz="0" w:space="0" w:color="auto"/>
        <w:right w:val="none" w:sz="0" w:space="0" w:color="auto"/>
      </w:divBdr>
    </w:div>
    <w:div w:id="471023470">
      <w:bodyDiv w:val="1"/>
      <w:marLeft w:val="0"/>
      <w:marRight w:val="0"/>
      <w:marTop w:val="0"/>
      <w:marBottom w:val="0"/>
      <w:divBdr>
        <w:top w:val="none" w:sz="0" w:space="0" w:color="auto"/>
        <w:left w:val="none" w:sz="0" w:space="0" w:color="auto"/>
        <w:bottom w:val="none" w:sz="0" w:space="0" w:color="auto"/>
        <w:right w:val="none" w:sz="0" w:space="0" w:color="auto"/>
      </w:divBdr>
    </w:div>
    <w:div w:id="682248305">
      <w:bodyDiv w:val="1"/>
      <w:marLeft w:val="0"/>
      <w:marRight w:val="0"/>
      <w:marTop w:val="0"/>
      <w:marBottom w:val="0"/>
      <w:divBdr>
        <w:top w:val="none" w:sz="0" w:space="0" w:color="auto"/>
        <w:left w:val="none" w:sz="0" w:space="0" w:color="auto"/>
        <w:bottom w:val="none" w:sz="0" w:space="0" w:color="auto"/>
        <w:right w:val="none" w:sz="0" w:space="0" w:color="auto"/>
      </w:divBdr>
      <w:divsChild>
        <w:div w:id="332995437">
          <w:marLeft w:val="0"/>
          <w:marRight w:val="0"/>
          <w:marTop w:val="0"/>
          <w:marBottom w:val="0"/>
          <w:divBdr>
            <w:top w:val="none" w:sz="0" w:space="0" w:color="auto"/>
            <w:left w:val="none" w:sz="0" w:space="0" w:color="auto"/>
            <w:bottom w:val="none" w:sz="0" w:space="0" w:color="auto"/>
            <w:right w:val="none" w:sz="0" w:space="0" w:color="auto"/>
          </w:divBdr>
          <w:divsChild>
            <w:div w:id="916745831">
              <w:marLeft w:val="0"/>
              <w:marRight w:val="0"/>
              <w:marTop w:val="0"/>
              <w:marBottom w:val="0"/>
              <w:divBdr>
                <w:top w:val="none" w:sz="0" w:space="0" w:color="auto"/>
                <w:left w:val="none" w:sz="0" w:space="0" w:color="auto"/>
                <w:bottom w:val="none" w:sz="0" w:space="0" w:color="auto"/>
                <w:right w:val="none" w:sz="0" w:space="0" w:color="auto"/>
              </w:divBdr>
              <w:divsChild>
                <w:div w:id="42796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626310">
      <w:bodyDiv w:val="1"/>
      <w:marLeft w:val="0"/>
      <w:marRight w:val="0"/>
      <w:marTop w:val="0"/>
      <w:marBottom w:val="0"/>
      <w:divBdr>
        <w:top w:val="none" w:sz="0" w:space="0" w:color="auto"/>
        <w:left w:val="none" w:sz="0" w:space="0" w:color="auto"/>
        <w:bottom w:val="none" w:sz="0" w:space="0" w:color="auto"/>
        <w:right w:val="none" w:sz="0" w:space="0" w:color="auto"/>
      </w:divBdr>
      <w:divsChild>
        <w:div w:id="390731152">
          <w:marLeft w:val="0"/>
          <w:marRight w:val="0"/>
          <w:marTop w:val="0"/>
          <w:marBottom w:val="0"/>
          <w:divBdr>
            <w:top w:val="none" w:sz="0" w:space="0" w:color="auto"/>
            <w:left w:val="none" w:sz="0" w:space="0" w:color="auto"/>
            <w:bottom w:val="none" w:sz="0" w:space="0" w:color="auto"/>
            <w:right w:val="none" w:sz="0" w:space="0" w:color="auto"/>
          </w:divBdr>
          <w:divsChild>
            <w:div w:id="250937611">
              <w:marLeft w:val="0"/>
              <w:marRight w:val="0"/>
              <w:marTop w:val="0"/>
              <w:marBottom w:val="0"/>
              <w:divBdr>
                <w:top w:val="none" w:sz="0" w:space="0" w:color="auto"/>
                <w:left w:val="none" w:sz="0" w:space="0" w:color="auto"/>
                <w:bottom w:val="none" w:sz="0" w:space="0" w:color="auto"/>
                <w:right w:val="none" w:sz="0" w:space="0" w:color="auto"/>
              </w:divBdr>
              <w:divsChild>
                <w:div w:id="5214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6440">
      <w:bodyDiv w:val="1"/>
      <w:marLeft w:val="0"/>
      <w:marRight w:val="0"/>
      <w:marTop w:val="0"/>
      <w:marBottom w:val="0"/>
      <w:divBdr>
        <w:top w:val="none" w:sz="0" w:space="0" w:color="auto"/>
        <w:left w:val="none" w:sz="0" w:space="0" w:color="auto"/>
        <w:bottom w:val="none" w:sz="0" w:space="0" w:color="auto"/>
        <w:right w:val="none" w:sz="0" w:space="0" w:color="auto"/>
      </w:divBdr>
      <w:divsChild>
        <w:div w:id="248775573">
          <w:marLeft w:val="0"/>
          <w:marRight w:val="0"/>
          <w:marTop w:val="0"/>
          <w:marBottom w:val="0"/>
          <w:divBdr>
            <w:top w:val="none" w:sz="0" w:space="0" w:color="auto"/>
            <w:left w:val="none" w:sz="0" w:space="0" w:color="auto"/>
            <w:bottom w:val="none" w:sz="0" w:space="0" w:color="auto"/>
            <w:right w:val="none" w:sz="0" w:space="0" w:color="auto"/>
          </w:divBdr>
        </w:div>
        <w:div w:id="706182965">
          <w:marLeft w:val="0"/>
          <w:marRight w:val="0"/>
          <w:marTop w:val="0"/>
          <w:marBottom w:val="0"/>
          <w:divBdr>
            <w:top w:val="none" w:sz="0" w:space="0" w:color="auto"/>
            <w:left w:val="none" w:sz="0" w:space="0" w:color="auto"/>
            <w:bottom w:val="none" w:sz="0" w:space="0" w:color="auto"/>
            <w:right w:val="none" w:sz="0" w:space="0" w:color="auto"/>
          </w:divBdr>
        </w:div>
        <w:div w:id="1005402093">
          <w:marLeft w:val="0"/>
          <w:marRight w:val="0"/>
          <w:marTop w:val="0"/>
          <w:marBottom w:val="0"/>
          <w:divBdr>
            <w:top w:val="none" w:sz="0" w:space="0" w:color="auto"/>
            <w:left w:val="none" w:sz="0" w:space="0" w:color="auto"/>
            <w:bottom w:val="none" w:sz="0" w:space="0" w:color="auto"/>
            <w:right w:val="none" w:sz="0" w:space="0" w:color="auto"/>
          </w:divBdr>
        </w:div>
        <w:div w:id="1125929705">
          <w:marLeft w:val="0"/>
          <w:marRight w:val="0"/>
          <w:marTop w:val="0"/>
          <w:marBottom w:val="0"/>
          <w:divBdr>
            <w:top w:val="none" w:sz="0" w:space="0" w:color="auto"/>
            <w:left w:val="none" w:sz="0" w:space="0" w:color="auto"/>
            <w:bottom w:val="none" w:sz="0" w:space="0" w:color="auto"/>
            <w:right w:val="none" w:sz="0" w:space="0" w:color="auto"/>
          </w:divBdr>
        </w:div>
        <w:div w:id="1234777490">
          <w:marLeft w:val="0"/>
          <w:marRight w:val="0"/>
          <w:marTop w:val="0"/>
          <w:marBottom w:val="0"/>
          <w:divBdr>
            <w:top w:val="none" w:sz="0" w:space="0" w:color="auto"/>
            <w:left w:val="none" w:sz="0" w:space="0" w:color="auto"/>
            <w:bottom w:val="none" w:sz="0" w:space="0" w:color="auto"/>
            <w:right w:val="none" w:sz="0" w:space="0" w:color="auto"/>
          </w:divBdr>
        </w:div>
        <w:div w:id="1809783027">
          <w:marLeft w:val="0"/>
          <w:marRight w:val="0"/>
          <w:marTop w:val="0"/>
          <w:marBottom w:val="0"/>
          <w:divBdr>
            <w:top w:val="none" w:sz="0" w:space="0" w:color="auto"/>
            <w:left w:val="none" w:sz="0" w:space="0" w:color="auto"/>
            <w:bottom w:val="none" w:sz="0" w:space="0" w:color="auto"/>
            <w:right w:val="none" w:sz="0" w:space="0" w:color="auto"/>
          </w:divBdr>
        </w:div>
      </w:divsChild>
    </w:div>
    <w:div w:id="1169371634">
      <w:bodyDiv w:val="1"/>
      <w:marLeft w:val="0"/>
      <w:marRight w:val="0"/>
      <w:marTop w:val="0"/>
      <w:marBottom w:val="0"/>
      <w:divBdr>
        <w:top w:val="none" w:sz="0" w:space="0" w:color="auto"/>
        <w:left w:val="none" w:sz="0" w:space="0" w:color="auto"/>
        <w:bottom w:val="none" w:sz="0" w:space="0" w:color="auto"/>
        <w:right w:val="none" w:sz="0" w:space="0" w:color="auto"/>
      </w:divBdr>
    </w:div>
    <w:div w:id="1196652860">
      <w:bodyDiv w:val="1"/>
      <w:marLeft w:val="0"/>
      <w:marRight w:val="0"/>
      <w:marTop w:val="0"/>
      <w:marBottom w:val="0"/>
      <w:divBdr>
        <w:top w:val="none" w:sz="0" w:space="0" w:color="auto"/>
        <w:left w:val="none" w:sz="0" w:space="0" w:color="auto"/>
        <w:bottom w:val="none" w:sz="0" w:space="0" w:color="auto"/>
        <w:right w:val="none" w:sz="0" w:space="0" w:color="auto"/>
      </w:divBdr>
      <w:divsChild>
        <w:div w:id="909268783">
          <w:marLeft w:val="0"/>
          <w:marRight w:val="0"/>
          <w:marTop w:val="0"/>
          <w:marBottom w:val="0"/>
          <w:divBdr>
            <w:top w:val="none" w:sz="0" w:space="0" w:color="auto"/>
            <w:left w:val="none" w:sz="0" w:space="0" w:color="auto"/>
            <w:bottom w:val="none" w:sz="0" w:space="0" w:color="auto"/>
            <w:right w:val="none" w:sz="0" w:space="0" w:color="auto"/>
          </w:divBdr>
          <w:divsChild>
            <w:div w:id="1845703598">
              <w:marLeft w:val="0"/>
              <w:marRight w:val="0"/>
              <w:marTop w:val="0"/>
              <w:marBottom w:val="0"/>
              <w:divBdr>
                <w:top w:val="none" w:sz="0" w:space="0" w:color="auto"/>
                <w:left w:val="none" w:sz="0" w:space="0" w:color="auto"/>
                <w:bottom w:val="none" w:sz="0" w:space="0" w:color="auto"/>
                <w:right w:val="none" w:sz="0" w:space="0" w:color="auto"/>
              </w:divBdr>
              <w:divsChild>
                <w:div w:id="100501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495696">
      <w:bodyDiv w:val="1"/>
      <w:marLeft w:val="0"/>
      <w:marRight w:val="0"/>
      <w:marTop w:val="0"/>
      <w:marBottom w:val="0"/>
      <w:divBdr>
        <w:top w:val="none" w:sz="0" w:space="0" w:color="auto"/>
        <w:left w:val="none" w:sz="0" w:space="0" w:color="auto"/>
        <w:bottom w:val="none" w:sz="0" w:space="0" w:color="auto"/>
        <w:right w:val="none" w:sz="0" w:space="0" w:color="auto"/>
      </w:divBdr>
    </w:div>
    <w:div w:id="1543522301">
      <w:bodyDiv w:val="1"/>
      <w:marLeft w:val="0"/>
      <w:marRight w:val="0"/>
      <w:marTop w:val="0"/>
      <w:marBottom w:val="0"/>
      <w:divBdr>
        <w:top w:val="none" w:sz="0" w:space="0" w:color="auto"/>
        <w:left w:val="none" w:sz="0" w:space="0" w:color="auto"/>
        <w:bottom w:val="none" w:sz="0" w:space="0" w:color="auto"/>
        <w:right w:val="none" w:sz="0" w:space="0" w:color="auto"/>
      </w:divBdr>
    </w:div>
    <w:div w:id="1757942687">
      <w:bodyDiv w:val="1"/>
      <w:marLeft w:val="0"/>
      <w:marRight w:val="0"/>
      <w:marTop w:val="0"/>
      <w:marBottom w:val="0"/>
      <w:divBdr>
        <w:top w:val="none" w:sz="0" w:space="0" w:color="auto"/>
        <w:left w:val="none" w:sz="0" w:space="0" w:color="auto"/>
        <w:bottom w:val="none" w:sz="0" w:space="0" w:color="auto"/>
        <w:right w:val="none" w:sz="0" w:space="0" w:color="auto"/>
      </w:divBdr>
    </w:div>
    <w:div w:id="1779181976">
      <w:bodyDiv w:val="1"/>
      <w:marLeft w:val="0"/>
      <w:marRight w:val="0"/>
      <w:marTop w:val="0"/>
      <w:marBottom w:val="0"/>
      <w:divBdr>
        <w:top w:val="none" w:sz="0" w:space="0" w:color="auto"/>
        <w:left w:val="none" w:sz="0" w:space="0" w:color="auto"/>
        <w:bottom w:val="none" w:sz="0" w:space="0" w:color="auto"/>
        <w:right w:val="none" w:sz="0" w:space="0" w:color="auto"/>
      </w:divBdr>
    </w:div>
    <w:div w:id="19135451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NEWFORMAT\Cover%20Pages\PlainP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46AB3680AD04583FFC0D2A3BEC2EA" ma:contentTypeVersion="0" ma:contentTypeDescription="Create a new document." ma:contentTypeScope="" ma:versionID="4a6605c3c1876c8c4c7bf4e29f5e2563">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DADC7-5D20-4375-92BD-E75F880960F3}">
  <ds:schemaRefs>
    <ds:schemaRef ds:uri="http://schemas.microsoft.com/sharepoint/v3/contenttype/forms"/>
  </ds:schemaRefs>
</ds:datastoreItem>
</file>

<file path=customXml/itemProps2.xml><?xml version="1.0" encoding="utf-8"?>
<ds:datastoreItem xmlns:ds="http://schemas.openxmlformats.org/officeDocument/2006/customXml" ds:itemID="{A7D39C52-946C-4D1B-AA22-CC82A97B0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0B9F72-0F0D-4840-A375-821FE3622A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9AB818-A86C-4D52-9383-B660363BC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PlainPage</Template>
  <TotalTime>1</TotalTime>
  <Pages>13</Pages>
  <Words>5674</Words>
  <Characters>32346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1043830</vt:lpstr>
    </vt:vector>
  </TitlesOfParts>
  <Company>CSD</Company>
  <LinksUpToDate>false</LinksUpToDate>
  <CharactersWithSpaces>37945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1043830</dc:title>
  <dc:subject>CCPR/C/COL/6/CRP.1</dc:subject>
  <dc:creator>mtw</dc:creator>
  <dc:description>final</dc:description>
  <cp:lastModifiedBy>Eleanor Lisney</cp:lastModifiedBy>
  <cp:revision>2</cp:revision>
  <cp:lastPrinted>2016-06-23T07:56:00Z</cp:lastPrinted>
  <dcterms:created xsi:type="dcterms:W3CDTF">2016-07-01T18:43:00Z</dcterms:created>
  <dcterms:modified xsi:type="dcterms:W3CDTF">2016-07-01T18:43:00Z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0x010100B5446AB3680AD04583FFC0D2A3BEC2EA</vt:lpwstr>
  </property>
</Properties>
</file>